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14 — Berufungserwiderung und Anschlussberufungsbegründung Saalbau Rosenheim GmbH</w:t>
      </w:r>
    </w:p>
    <w:p>
      <w:pPr>
        <w:pStyle w:val="Heading2"/>
      </w:pPr>
      <w:r>
        <w:rPr>
          <w:rFonts w:ascii="Times New Roman" w:hAnsi="Times New Roman"/>
        </w:rPr>
        <w:t>Schriftsatz vom 05.10.2027</w:t>
      </w:r>
    </w:p>
    <w:p>
      <w:pPr>
        <w:jc w:val="left"/>
      </w:pPr>
      <w:r>
        <w:rPr>
          <w:b/>
        </w:rPr>
        <w:t>Az. OLG München:</w:t>
      </w:r>
      <w:r>
        <w:t xml:space="preserve"> 13 U 417/27</w:t>
      </w:r>
    </w:p>
    <w:p>
      <w:pPr>
        <w:jc w:val="left"/>
      </w:pPr>
      <w:r>
        <w:rPr>
          <w:b/>
        </w:rPr>
        <w:t>Verfasser:</w:t>
      </w:r>
      <w:r>
        <w:t xml:space="preserve"> RA Bernhard Scholl-Mayer</w:t>
      </w:r>
    </w:p>
    <w:p/>
    <w:p>
      <w:pPr>
        <w:pStyle w:val="Heading2"/>
      </w:pPr>
      <w:r>
        <w:rPr>
          <w:rFonts w:ascii="Times New Roman" w:hAnsi="Times New Roman"/>
        </w:rPr>
        <w:t>Anträge der Beklagten im Berufungsverfahren</w:t>
      </w:r>
    </w:p>
    <w:p>
      <w:pPr>
        <w:jc w:val="left"/>
      </w:pPr>
      <w:r>
        <w:t>Als Berufungsgegnerin (gegen Klägerin-Berufung) beantragt die Beklagte:</w:t>
      </w:r>
    </w:p>
    <w:p>
      <w:pPr>
        <w:jc w:val="left"/>
      </w:pPr>
      <w:r>
        <w:rPr>
          <w:b/>
        </w:rPr>
        <w:t>1.</w:t>
      </w:r>
      <w:r>
        <w:t xml:space="preserve"> Die Berufung der Klägerin wird zurückgewiesen.</w:t>
      </w:r>
    </w:p>
    <w:p>
      <w:pPr>
        <w:jc w:val="left"/>
      </w:pPr>
      <w:r>
        <w:t>Als Berufungsführerin (eigene Berufung) beantragt die Beklagte:</w:t>
      </w:r>
    </w:p>
    <w:p>
      <w:pPr>
        <w:jc w:val="left"/>
      </w:pPr>
      <w:r>
        <w:rPr>
          <w:b/>
        </w:rPr>
        <w:t>2.</w:t>
      </w:r>
      <w:r>
        <w:t xml:space="preserve"> Auf die Berufung der Beklagten wird das Urteil des LG Traunstein vom 22.07.2027 abgeändert:</w:t>
      </w:r>
    </w:p>
    <w:p>
      <w:pPr>
        <w:jc w:val="left"/>
      </w:pPr>
      <w:r>
        <w:rPr>
          <w:b/>
        </w:rPr>
        <w:t>2a.</w:t>
      </w:r>
      <w:r>
        <w:t xml:space="preserve"> Die Klage wird vollständig abgewiesen.</w:t>
      </w:r>
    </w:p>
    <w:p>
      <w:pPr>
        <w:jc w:val="left"/>
      </w:pPr>
      <w:r>
        <w:rPr>
          <w:b/>
        </w:rPr>
        <w:t>Hilfsweise zu 2a.:</w:t>
      </w:r>
    </w:p>
    <w:p>
      <w:pPr>
        <w:jc w:val="left"/>
      </w:pPr>
      <w:r>
        <w:rPr>
          <w:b/>
        </w:rPr>
        <w:t>2b.</w:t>
      </w:r>
      <w:r>
        <w:t xml:space="preserve"> Die Beklagte wird lediglich verurteilt, an die Klägerin 102.100 EUR nebst anteiligen Zinsen zu zahlen; im Übrigen wird die Klage abgewiesen.</w:t>
      </w:r>
    </w:p>
    <w:p/>
    <w:p>
      <w:pPr>
        <w:pStyle w:val="Heading2"/>
      </w:pPr>
      <w:r>
        <w:rPr>
          <w:rFonts w:ascii="Times New Roman" w:hAnsi="Times New Roman"/>
        </w:rPr>
        <w:t>Berufungsbegründung der Beklagten</w:t>
      </w:r>
    </w:p>
    <w:p>
      <w:pPr>
        <w:pStyle w:val="Heading3"/>
      </w:pPr>
      <w:r>
        <w:rPr>
          <w:rFonts w:ascii="Times New Roman" w:hAnsi="Times New Roman"/>
        </w:rPr>
        <w:t>I. Zur AGB-Klausel § 9 des Werkvertrages</w:t>
      </w:r>
    </w:p>
    <w:p>
      <w:pPr>
        <w:jc w:val="left"/>
      </w:pPr>
      <w:r>
        <w:t>Das LG hat § 9 des Werkvertrages zu Unrecht für unwirksam erklärt. Die Klausel entspricht einer branchenüblichen, VOB/B-ähnlichen Risikoverteilung. Der Werkvertrag wurde zwischen zwei Parteien mit vergleichbarer Verhandlungsmacht geschlossen; die Klägerin hatte anwaltliche Beratung beim Vertragsschluss (RA Gerber, Rosenheim — Zeugnis).</w:t>
      </w:r>
    </w:p>
    <w:p>
      <w:pPr>
        <w:jc w:val="left"/>
      </w:pPr>
      <w:r>
        <w:t>Nach der Rechtsprechung des BGH (VII ZR 34/14, NJW 2015, 1955) ist eine AGB-Klausel, die Sonderleistungen infolge unvorhergesehener Bodenverhältnisse dem Auftraggeber aufbürdet, nicht per se unwirksam, wenn der Auftraggeber als Bauherr die Möglichkeit hatte, selbst Voruntersuchungen zu veranlassen. Die Klägerin hat dies unterlassen.</w:t>
      </w:r>
    </w:p>
    <w:p>
      <w:pPr>
        <w:pStyle w:val="Heading3"/>
      </w:pPr>
      <w:r>
        <w:rPr>
          <w:rFonts w:ascii="Times New Roman" w:hAnsi="Times New Roman"/>
        </w:rPr>
        <w:t>II. Zur Kausalitätsfrage Bodenaustausch — Verschulden der Beklagten</w:t>
      </w:r>
    </w:p>
    <w:p>
      <w:pPr>
        <w:jc w:val="left"/>
      </w:pPr>
      <w:r>
        <w:t>Selbst wenn man § 9 des Vertrages für unwirksam hielte, fehlt es am Verschulden der Beklagten. Der Kontaminationsverdacht war aufgrund der Lage des Grundstücks (ehemalige Tankstelle auf Nachbargrundstück) nicht für ein Unternehmen ohne Bodengutachten erkennbar. Die Beklagte ist kein Umweltgutachter.</w:t>
      </w:r>
    </w:p>
    <w:p>
      <w:pPr>
        <w:pStyle w:val="Heading3"/>
      </w:pPr>
      <w:r>
        <w:rPr>
          <w:rFonts w:ascii="Times New Roman" w:hAnsi="Times New Roman"/>
        </w:rPr>
        <w:t>III. Zu den Folgemängelschäden</w:t>
      </w:r>
    </w:p>
    <w:p>
      <w:pPr>
        <w:jc w:val="left"/>
      </w:pPr>
      <w:r>
        <w:t>Das LG hat die Folgemängelschäden zu hoch angesetzt. Der Sachverständige Zeyer bezifferte die Schäden grob; eine detaillierte Schadensermittlung fehlt. Die Beklagte beantragt, ein weiteres Sachverständigengutachten einzuholen (§ 412 ZPO).</w:t>
      </w:r>
    </w:p>
    <w:p>
      <w:pPr>
        <w:pStyle w:val="Heading3"/>
      </w:pPr>
      <w:r>
        <w:rPr>
          <w:rFonts w:ascii="Times New Roman" w:hAnsi="Times New Roman"/>
        </w:rPr>
        <w:t>IV. Zur Streitwertfestsetzung</w:t>
      </w:r>
    </w:p>
    <w:p>
      <w:pPr>
        <w:jc w:val="left"/>
      </w:pPr>
      <w:r>
        <w:t>Die Beklagte rügt die Streitwertfestsetzung auf 684.400 EUR. Die Klageerweiterung war nicht sachdienlich; der Streitwert hätte auf 447.400 EUR beschränkt werden müssen.</w:t>
      </w:r>
    </w:p>
    <w:p/>
    <w:p>
      <w:pPr>
        <w:pStyle w:val="Heading2"/>
      </w:pPr>
      <w:r>
        <w:rPr>
          <w:rFonts w:ascii="Times New Roman" w:hAnsi="Times New Roman"/>
        </w:rPr>
        <w:t>Erwiderung auf Berufung der Klägerin</w:t>
      </w:r>
    </w:p>
    <w:p>
      <w:pPr>
        <w:jc w:val="left"/>
      </w:pPr>
      <w:r>
        <w:t>Die Kürzungen des LG bei Hotelkosten und Gutachterkosten sind zutreffend:</w:t>
      </w:r>
    </w:p>
    <w:p>
      <w:pPr>
        <w:pStyle w:val="ListBullet"/>
      </w:pPr>
      <w:r>
        <w:t>Hotellrechungen: nur 5 Wochen belegt (Wochen 6–8 fehlen).</w:t>
      </w:r>
    </w:p>
    <w:p>
      <w:pPr>
        <w:pStyle w:val="ListBullet"/>
      </w:pPr>
      <w:r>
        <w:t>Gutachterkosten: sind keine adäquat kausalen Schäden, sondern Rechtsverfolgungskosten, die nur nach § 91 ZPO ersetzt werden.</w:t>
      </w:r>
    </w:p>
    <w:p>
      <w:pPr>
        <w:jc w:val="left"/>
      </w:pPr>
      <w:r>
        <w:t>Die Klägerin versucht, unter dem Deckmantel der Berufungsbegründung neue Beweismittel einzuführen. Neue Angriffs- und Verteidigungsmittel sind im Berufungsverfahren nur eingeschränkt zulässig (§ 531 Abs. 2 ZPO).</w:t>
      </w:r>
    </w:p>
    <w:p/>
    <w:p>
      <w:pPr>
        <w:pStyle w:val="Heading2"/>
      </w:pPr>
      <w:r>
        <w:rPr>
          <w:rFonts w:ascii="Times New Roman" w:hAnsi="Times New Roman"/>
        </w:rPr>
        <w:t>Quellen</w:t>
      </w:r>
    </w:p>
    <w:p>
      <w:pPr>
        <w:pStyle w:val="ListBullet"/>
      </w:pPr>
      <w:r>
        <w:t>§ 511 ZPO (Berufung) — dejure.org/gesetze/ZPO/511.html</w:t>
      </w:r>
    </w:p>
    <w:p>
      <w:pPr>
        <w:pStyle w:val="ListBullet"/>
      </w:pPr>
      <w:r>
        <w:t>§ 531 ZPO (neue Angriffs- und Verteidigungsmittel) — dejure.org/gesetze/ZPO/531.html</w:t>
      </w:r>
    </w:p>
    <w:p>
      <w:pPr>
        <w:pStyle w:val="ListBullet"/>
      </w:pPr>
      <w:r>
        <w:t>BGH VII ZR 34/14 — bundesgerichtshof.de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Berufungserwiderung und Anschlussberufungsbegründung Saalbau Rosenheim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Berufungserwiderung und Anschlussberufungsbegründung Saalbau Rosenheim GmbH</w:t>
    </w:r>
  </w:p>
  <w:p>
    <w:pPr>
      <w:jc w:val="left"/>
      <w:pBdr>
        <w:bottom w:val="single" w:sz="6" w:space="2" w:color="7B2D3B"/>
      </w:pBdr>
    </w:pPr>
    <w:r>
      <w:rPr>
        <w:rFonts w:ascii="Times New Roman" w:hAnsi="Times New Roman"/>
        <w:color w:val="6B6B66"/>
        <w:sz w:val="16"/>
      </w:rPr>
      <w:t>Unternehmen · Az. OLG München: 13 U 417/27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