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Urteil OLG München, Az. 13 U 417/27</w:t>
      </w:r>
    </w:p>
    <w:p>
      <w:pPr>
        <w:pStyle w:val="Heading2"/>
      </w:pPr>
      <w:r>
        <w:rPr>
          <w:rFonts w:ascii="Times New Roman" w:hAnsi="Times New Roman"/>
        </w:rPr>
        <w:t>Im Namen des Volkes</w:t>
      </w:r>
    </w:p>
    <w:p>
      <w:pPr>
        <w:jc w:val="left"/>
      </w:pPr>
      <w:r>
        <w:rPr>
          <w:b/>
        </w:rPr>
        <w:t>Urteil</w:t>
      </w:r>
    </w:p>
    <w:p>
      <w:pPr>
        <w:jc w:val="left"/>
      </w:pPr>
      <w:r>
        <w:t>In dem Rechtsstreit</w:t>
      </w:r>
    </w:p>
    <w:p>
      <w:pPr>
        <w:jc w:val="left"/>
      </w:pPr>
      <w:r>
        <w:t>Margarete Pohlmann ./. Saalbau Rosenheim GmbH</w:t>
      </w:r>
    </w:p>
    <w:p>
      <w:pPr>
        <w:jc w:val="left"/>
      </w:pPr>
      <w:r>
        <w:t xml:space="preserve">Az.: </w:t>
      </w:r>
      <w:r>
        <w:rPr>
          <w:b/>
        </w:rPr>
        <w:t>13 U 417/27</w:t>
      </w:r>
    </w:p>
    <w:p>
      <w:pPr>
        <w:jc w:val="left"/>
      </w:pPr>
      <w:r>
        <w:t xml:space="preserve">Verkündet am: </w:t>
      </w:r>
      <w:r>
        <w:rPr>
          <w:b/>
        </w:rPr>
        <w:t>30.04.2028</w:t>
      </w:r>
    </w:p>
    <w:p>
      <w:pPr>
        <w:jc w:val="left"/>
      </w:pPr>
      <w:r>
        <w:t>hat das Oberlandesgericht München, 13. Zivilsenat, durch</w:t>
      </w:r>
    </w:p>
    <w:p>
      <w:pPr>
        <w:jc w:val="left"/>
      </w:pPr>
      <w:r>
        <w:t>OLGRiMünchen Dr. Hans-Peter Vogelstrom, RiOLG Dr. Katrin Elsenbeck, RiOLG Martin Polz-Neuberger</w:t>
      </w:r>
    </w:p>
    <w:p>
      <w:pPr>
        <w:jc w:val="left"/>
      </w:pPr>
      <w:r>
        <w:rPr>
          <w:b/>
        </w:rPr>
        <w:t>für Recht erkannt:</w:t>
      </w:r>
    </w:p>
    <w:p/>
    <w:p>
      <w:pPr>
        <w:pStyle w:val="Heading2"/>
      </w:pPr>
      <w:r>
        <w:rPr>
          <w:rFonts w:ascii="Times New Roman" w:hAnsi="Times New Roman"/>
        </w:rPr>
        <w:t>Tenor</w:t>
      </w:r>
    </w:p>
    <w:p>
      <w:pPr>
        <w:jc w:val="left"/>
      </w:pPr>
      <w:r>
        <w:rPr>
          <w:b/>
        </w:rPr>
        <w:t>I.</w:t>
      </w:r>
      <w:r>
        <w:t xml:space="preserve"> Auf die Berufung der Klägerin wird das Urteil des Landgerichts Traunstein vom 22.07.2027, Az. 1 O 2188/25, teilweise abgeändert:</w:t>
      </w:r>
    </w:p>
    <w:p>
      <w:pPr>
        <w:jc w:val="left"/>
      </w:pPr>
      <w:r>
        <w:t xml:space="preserve">Die Beklagte wird verurteilt, an die Klägerin </w:t>
      </w:r>
      <w:r>
        <w:rPr>
          <w:b/>
        </w:rPr>
        <w:t>539.650 EUR</w:t>
      </w:r>
      <w:r>
        <w:t xml:space="preserve"> nebst Zinsen zu zahlen.</w:t>
      </w:r>
    </w:p>
    <w:p>
      <w:pPr>
        <w:jc w:val="left"/>
      </w:pPr>
      <w:r>
        <w:rPr>
          <w:b/>
        </w:rPr>
        <w:t>II.</w:t>
      </w:r>
      <w:r>
        <w:t xml:space="preserve"> Die Berufung der Beklagten wird zurückgewiesen.</w:t>
      </w:r>
    </w:p>
    <w:p>
      <w:pPr>
        <w:jc w:val="left"/>
      </w:pPr>
      <w:r>
        <w:rPr>
          <w:b/>
        </w:rPr>
        <w:t>III.</w:t>
      </w:r>
      <w:r>
        <w:t xml:space="preserve"> Die Kosten des Berufungsverfahrens trägt die Beklagte zu 85 %, die Klägerin zu 15 %.</w:t>
      </w:r>
    </w:p>
    <w:p>
      <w:pPr>
        <w:jc w:val="left"/>
      </w:pPr>
      <w:r>
        <w:rPr>
          <w:b/>
        </w:rPr>
        <w:t>IV.</w:t>
      </w:r>
      <w:r>
        <w:t xml:space="preserve"> Das Urteil ist gegen Sicherheitsleistung von 110 % des beizutreibenden Betrages vorläufig vollstreckbar.</w:t>
      </w:r>
    </w:p>
    <w:p>
      <w:pPr>
        <w:jc w:val="left"/>
      </w:pPr>
      <w:r>
        <w:rPr>
          <w:b/>
        </w:rPr>
        <w:t>V.</w:t>
      </w:r>
      <w:r>
        <w:t xml:space="preserve"> Die Revision wird zugelassen soweit es die Frage der Wirksamkeit der AGB-Klausel § 9 des Bauvertrages (Tragung von Mehrkosten durch unvorhergesehene Bodenverhältnisse) und die daraus folgende Hinweispflicht des Auftragnehmers betrifft (§ 543 Abs. 2 ZPO: grundsätzliche Bedeutung).</w:t>
      </w:r>
    </w:p>
    <w:p/>
    <w:p>
      <w:pPr>
        <w:pStyle w:val="Heading2"/>
      </w:pPr>
      <w:r>
        <w:rPr>
          <w:rFonts w:ascii="Times New Roman" w:hAnsi="Times New Roman"/>
        </w:rPr>
        <w:t>Entscheidungsgründe (Kurzfassung)</w:t>
      </w:r>
    </w:p>
    <w:p>
      <w:pPr>
        <w:pStyle w:val="Heading3"/>
      </w:pPr>
      <w:r>
        <w:rPr>
          <w:rFonts w:ascii="Times New Roman" w:hAnsi="Times New Roman"/>
        </w:rPr>
        <w:t>I. Berufung der Klägerin</w:t>
      </w:r>
    </w:p>
    <w:p>
      <w:pPr>
        <w:jc w:val="left"/>
      </w:pPr>
      <w:r>
        <w:rPr>
          <w:b/>
        </w:rPr>
        <w:t>Hotelkosten:</w:t>
      </w:r>
      <w:r>
        <w:t xml:space="preserve"> Der Senat hat einen Ergänzungsauftrag an SV Zeyer erteilt; dieser hat die Hotelrechnungen geprüft und Wochen 6–8 mit 18.450 EUR anerkannt. Der Senat spricht diesen Betrag zusätzlich zu.</w:t>
      </w:r>
    </w:p>
    <w:p>
      <w:pPr>
        <w:jc w:val="left"/>
      </w:pPr>
      <w:r>
        <w:rPr>
          <w:b/>
        </w:rPr>
        <w:t>Gutachterkosten Schadensfeststellung (8.400 EUR):</w:t>
      </w:r>
      <w:r>
        <w:t xml:space="preserve"> Nach BGH VI ZR 79/11 sind notwendige Kosten eines Privatgutachtens zur Schadensfeststellung adäquat kausal ersatzfähig. Die Gutachterkosten werden zugesprochen.</w:t>
      </w:r>
    </w:p>
    <w:p>
      <w:pPr>
        <w:jc w:val="left"/>
      </w:pPr>
      <w:r>
        <w:rPr>
          <w:b/>
        </w:rPr>
        <w:t>Sonstige Position (Bodenaustausch-Kürzung 17.000 EUR):</w:t>
      </w:r>
      <w:r>
        <w:t xml:space="preserve"> Die Pauschalrechnung (Anlage K 14) wurde durch Zeyer inhaltlich bestätigt. Die Kürzung des LG war fehlerhaft. 14.700 EUR werden zusätzlich zugesprochen (leichte weitere Kürzung wegen fehlender Umsatzsteueraufschlüsselung).</w:t>
      </w:r>
    </w:p>
    <w:p>
      <w:pPr>
        <w:jc w:val="left"/>
      </w:pPr>
      <w:r>
        <w:rPr>
          <w:b/>
        </w:rPr>
        <w:t>Summe zusätzlich durch Berufungsurteil Klägerin: 41.550 EUR</w:t>
      </w:r>
      <w:r>
        <w:t xml:space="preserve"> (18.450 + 8.400 + 14.700).</w:t>
      </w:r>
    </w:p>
    <w:p>
      <w:pPr>
        <w:pStyle w:val="Heading3"/>
      </w:pPr>
      <w:r>
        <w:rPr>
          <w:rFonts w:ascii="Times New Roman" w:hAnsi="Times New Roman"/>
        </w:rPr>
        <w:t>II. Berufung der Beklagten</w:t>
      </w:r>
    </w:p>
    <w:p>
      <w:pPr>
        <w:jc w:val="left"/>
      </w:pPr>
      <w:r>
        <w:t>Die Berufung der Beklagten ist unbegründet. Der Senat bestätigt die Wertung des LG zur AGB-Klausel § 9 und zur Kausalität Dachentwässerung/Folgemängel.</w:t>
      </w:r>
    </w:p>
    <w:p>
      <w:pPr>
        <w:jc w:val="left"/>
      </w:pPr>
      <w:r>
        <w:rPr>
          <w:b/>
        </w:rPr>
        <w:t>Zur AGB-Klausel:</w:t>
      </w:r>
      <w:r>
        <w:t xml:space="preserve"> Die Beklagte ist Unternehmer i.S.d. § 14 BGB, die Klägerin ist Verbraucherin i.S.d. § 13 BGB. Bei Verbraucherverträgen wird § 307 BGB strenger gehandhabt. Die Klausel § 9, die dem Verbraucher das Bodenkontaminationsrisiko aufbürdet, ohne dem Unternehmer eine entsprechende Voruntersuchungspflicht aufzuerlegen, weicht vom gesetzlichen Leitbild des § 631 Abs. 1 BGB ab und benachteiligt den Verbraucher unangemessen.</w:t>
      </w:r>
    </w:p>
    <w:p>
      <w:pPr>
        <w:pStyle w:val="Heading3"/>
      </w:pPr>
      <w:r>
        <w:rPr>
          <w:rFonts w:ascii="Times New Roman" w:hAnsi="Times New Roman"/>
        </w:rPr>
        <w:t>III. Zulassung der Revision</w:t>
      </w:r>
    </w:p>
    <w:p>
      <w:pPr>
        <w:jc w:val="left"/>
      </w:pPr>
      <w:r>
        <w:t>Zur Frage, ob eine AGB-Klausel in einem Verbraucher-Bauvertrag, die dem Verbraucher die Kosten unvorhergesehener Bodenverhältnisse aufbürdet, nach § 307 BGB unwirksam ist, liegt keine höchstrichterliche Entscheidung vor, die diesen Fall exakt abdeckt. Die Frage hat grundsätzliche Bedeutung für die Praxis des Wohnungsbaus (§ 543 Abs. 2 Nr. 1 ZPO). Die Revision wird zugelassen.</w:t>
      </w:r>
    </w:p>
    <w:p/>
    <w:p>
      <w:pPr>
        <w:pStyle w:val="Heading2"/>
      </w:pPr>
      <w:r>
        <w:rPr>
          <w:rFonts w:ascii="Times New Roman" w:hAnsi="Times New Roman"/>
        </w:rPr>
        <w:t>Fazit und prozessuale Folgen</w:t>
      </w:r>
    </w:p>
    <w:p>
      <w:pPr>
        <w:jc w:val="left"/>
      </w:pPr>
      <w:r>
        <w:t xml:space="preserve">Gesamtbetrag nach OLG-Urteil: </w:t>
      </w:r>
      <w:r>
        <w:rPr>
          <w:b/>
        </w:rPr>
        <w:t>512.300 EUR (LG) + 41.550 EUR (OLG-Berufungsurteil) = 553.850 EUR</w:t>
      </w:r>
    </w:p>
    <w:p>
      <w:pPr>
        <w:jc w:val="left"/>
      </w:pPr>
      <w:r>
        <w:t>Wegen Rechenkorrektur und Zinsen: im Tenor ausgewiesen 539.650 EUR (geringfügige Differenz bei Zinsberechnung).</w:t>
      </w:r>
    </w:p>
    <w:p>
      <w:pPr>
        <w:jc w:val="left"/>
      </w:pPr>
      <w:r>
        <w:t xml:space="preserve">Die Revision kann binnen </w:t>
      </w:r>
      <w:r>
        <w:rPr>
          <w:b/>
        </w:rPr>
        <w:t>1 Monat</w:t>
      </w:r>
      <w:r>
        <w:t xml:space="preserve"> ab Zustellung eingelegt werden (§ 548 ZPO); Revisionsbegründungsfrist </w:t>
      </w:r>
      <w:r>
        <w:rPr>
          <w:b/>
        </w:rPr>
        <w:t>2 Monate</w:t>
      </w:r>
      <w:r>
        <w:t xml:space="preserve"> ab Zustellung (§ 551 ZPO).</w:t>
      </w:r>
    </w:p>
    <w:p>
      <w:pPr>
        <w:jc w:val="left"/>
      </w:pPr>
      <w:r>
        <w:t>Zustellung OLG-Urteil: 20.05.2028.</w:t>
      </w:r>
    </w:p>
    <w:p>
      <w:pPr>
        <w:jc w:val="left"/>
      </w:pPr>
      <w:r>
        <w:t>Revisionsfrist: 20.06.2028.</w:t>
      </w:r>
    </w:p>
    <w:p>
      <w:pPr>
        <w:jc w:val="left"/>
      </w:pPr>
      <w:r>
        <w:t>Revisionsbegründungsfrist: 20.07.2028.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Saalbau Rosenheim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Saalbau Rosenheim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13 U 417/27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