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BGH-Revisionsurteil: Aufhebung und Zurückverweisung (§ 563 ZPO)</w:t>
      </w:r>
    </w:p>
    <w:p>
      <w:pPr>
        <w:pStyle w:val="Heading2"/>
      </w:pPr>
      <w:r>
        <w:rPr>
          <w:rFonts w:ascii="Times New Roman" w:hAnsi="Times New Roman"/>
        </w:rPr>
        <w:t>Im Namen des Volkes</w:t>
      </w:r>
    </w:p>
    <w:p>
      <w:pPr>
        <w:jc w:val="left"/>
      </w:pPr>
      <w:r>
        <w:rPr>
          <w:b/>
        </w:rPr>
        <w:t>Urteil</w:t>
      </w:r>
    </w:p>
    <w:p>
      <w:pPr>
        <w:jc w:val="left"/>
      </w:pPr>
      <w:r>
        <w:t>In dem Rechtsstreit</w:t>
      </w:r>
    </w:p>
    <w:p>
      <w:pPr>
        <w:jc w:val="left"/>
      </w:pPr>
      <w:r>
        <w:t>Saalbau Rosenheim GmbH ./. Margarete Pohlmann</w:t>
      </w:r>
    </w:p>
    <w:p>
      <w:pPr>
        <w:jc w:val="left"/>
      </w:pPr>
      <w:r>
        <w:t xml:space="preserve">Az.: </w:t>
      </w:r>
      <w:r>
        <w:rPr>
          <w:b/>
        </w:rPr>
        <w:t>VII ZR 2188/26</w:t>
      </w:r>
    </w:p>
    <w:p>
      <w:pPr>
        <w:jc w:val="left"/>
      </w:pPr>
      <w:r>
        <w:t xml:space="preserve">Verkündet am: </w:t>
      </w:r>
      <w:r>
        <w:rPr>
          <w:b/>
        </w:rPr>
        <w:t>10.09.2029</w:t>
      </w:r>
    </w:p>
    <w:p>
      <w:pPr>
        <w:jc w:val="left"/>
      </w:pPr>
      <w:r>
        <w:t>hat der VII. Zivilsenat des Bundesgerichtshofs durch</w:t>
      </w:r>
    </w:p>
    <w:p>
      <w:pPr>
        <w:jc w:val="left"/>
      </w:pPr>
      <w:r>
        <w:t>BGHRi Dr. Karl-Friedrich Menzel, BGHRin Dr. Petra Vormann, BGHRi Dr. Axel Grünfeld, BGHRin Dr. Ulrike Steinbach, BGHRi Dr. Jörg Heimann</w:t>
      </w:r>
    </w:p>
    <w:p>
      <w:pPr>
        <w:jc w:val="left"/>
      </w:pPr>
      <w:r>
        <w:rPr>
          <w:b/>
        </w:rPr>
        <w:t>für Recht erkannt:</w:t>
      </w:r>
    </w:p>
    <w:p/>
    <w:p>
      <w:pPr>
        <w:pStyle w:val="Heading2"/>
      </w:pPr>
      <w:r>
        <w:rPr>
          <w:rFonts w:ascii="Times New Roman" w:hAnsi="Times New Roman"/>
        </w:rPr>
        <w:t>Tenor</w:t>
      </w:r>
    </w:p>
    <w:p>
      <w:pPr>
        <w:jc w:val="left"/>
      </w:pPr>
      <w:r>
        <w:rPr>
          <w:b/>
        </w:rPr>
        <w:t>I.</w:t>
      </w:r>
      <w:r>
        <w:t xml:space="preserve"> Auf die Revision der Beklagten wird das Urteil des Oberlandesgerichts München vom 30.04.2028, Az. 13 U 417/27, aufgehoben, soweit darin die Beklagte zur Zahlung des auf die AGB-Klausel § 9 entfallenden Teilbetrages von </w:t>
      </w:r>
      <w:r>
        <w:rPr>
          <w:b/>
        </w:rPr>
        <w:t>109.700 EUR</w:t>
      </w:r>
      <w:r>
        <w:t xml:space="preserve"> nebst Zinsen verurteilt wurde.</w:t>
      </w:r>
    </w:p>
    <w:p>
      <w:pPr>
        <w:jc w:val="left"/>
      </w:pPr>
      <w:r>
        <w:rPr>
          <w:b/>
        </w:rPr>
        <w:t>II.</w:t>
      </w:r>
      <w:r>
        <w:t xml:space="preserve"> In diesem Umfang wird die Sache zur erneuten Verhandlung und Entscheidung an das Berufungsgericht zurückverwiesen (§ 563 Abs. 1 ZPO).</w:t>
      </w:r>
    </w:p>
    <w:p>
      <w:pPr>
        <w:jc w:val="left"/>
      </w:pPr>
      <w:r>
        <w:rPr>
          <w:b/>
        </w:rPr>
        <w:t>III.</w:t>
      </w:r>
      <w:r>
        <w:t xml:space="preserve"> Im Übrigen wird die Revision zurückgewiesen; insoweit bleibt das OLG-Urteil rechtskräftig.</w:t>
      </w:r>
    </w:p>
    <w:p>
      <w:pPr>
        <w:jc w:val="left"/>
      </w:pPr>
      <w:r>
        <w:rPr>
          <w:b/>
        </w:rPr>
        <w:t>IV.</w:t>
      </w:r>
      <w:r>
        <w:t xml:space="preserve"> Die Kostenentscheidung für das Revisionsverfahren bleibt dem Berufungsgericht vorbehalten.</w:t>
      </w:r>
    </w:p>
    <w:p/>
    <w:p>
      <w:pPr>
        <w:pStyle w:val="Heading2"/>
      </w:pPr>
      <w:r>
        <w:rPr>
          <w:rFonts w:ascii="Times New Roman" w:hAnsi="Times New Roman"/>
        </w:rPr>
        <w:t>Gründe</w:t>
      </w:r>
    </w:p>
    <w:p>
      <w:pPr>
        <w:pStyle w:val="Heading3"/>
      </w:pPr>
      <w:r>
        <w:rPr>
          <w:rFonts w:ascii="Times New Roman" w:hAnsi="Times New Roman"/>
        </w:rPr>
        <w:t>I. Sachverhalt und Prozessgeschichte</w:t>
      </w:r>
    </w:p>
    <w:p>
      <w:pPr>
        <w:jc w:val="left"/>
      </w:pPr>
      <w:r>
        <w:t>(Kurzfassung; auf die Urteile der Vorinstanzen wird Bezug genommen.)</w:t>
      </w:r>
    </w:p>
    <w:p>
      <w:pPr>
        <w:pStyle w:val="Heading3"/>
      </w:pPr>
      <w:r>
        <w:rPr>
          <w:rFonts w:ascii="Times New Roman" w:hAnsi="Times New Roman"/>
        </w:rPr>
        <w:t>II. Revisibilität</w:t>
      </w:r>
    </w:p>
    <w:p>
      <w:pPr>
        <w:jc w:val="left"/>
      </w:pPr>
      <w:r>
        <w:t>Die Revision ist nach § 543 Abs. 2 Nr. 1 ZPO zulässig zugelassen. Die aufgeworfene Rechtsfrage zur AGB-Kontrolle im Verbraucher-Bauvertrag hat grundsätzliche Bedeutung.</w:t>
      </w:r>
    </w:p>
    <w:p>
      <w:pPr>
        <w:pStyle w:val="Heading3"/>
      </w:pPr>
      <w:r>
        <w:rPr>
          <w:rFonts w:ascii="Times New Roman" w:hAnsi="Times New Roman"/>
        </w:rPr>
        <w:t>III. Zur Rechtsfrage § 307 BGB / AGB-Klausel in Verbraucher-Bauverträgen</w:t>
      </w:r>
    </w:p>
    <w:p>
      <w:pPr>
        <w:jc w:val="left"/>
      </w:pPr>
      <w:r>
        <w:rPr>
          <w:b/>
        </w:rPr>
        <w:t>A. Grundsatz</w:t>
      </w:r>
    </w:p>
    <w:p>
      <w:pPr>
        <w:jc w:val="left"/>
      </w:pPr>
      <w:r>
        <w:t>Der VII. Zivilsenat bestätigt: AGB-Klauseln in Werkverträgen, die dem Auftraggeber das Risiko unvorhergesehener Bodenverhältnisse aufbürden, ohne dem Auftragnehmer eine entsprechende Untersuchungspflicht aufzuerlegen, verstoßen grundsätzlich gegen § 307 Abs. 1 BGB. Sie weichen von den gesetzlichen Grundwertungen des Werkvertragsrechts ab (§ 631 Abs. 1 BGB: Herstellungsrisiko beim Auftragnehmer) und benachteiligen den Besteller unangemessen (Bestätigung und Fortführung von BGH VII ZR 282/14, NJW 2015, 1952 bundesgerichtshof.de; VII ZR 175/14, NJW 2016, 598).</w:t>
      </w:r>
    </w:p>
    <w:p>
      <w:pPr>
        <w:jc w:val="left"/>
      </w:pPr>
      <w:r>
        <w:rPr>
          <w:b/>
        </w:rPr>
        <w:t>B. Besonderheit bei anwaltlicher Beratung des Verbrauchers</w:t>
      </w:r>
    </w:p>
    <w:p>
      <w:pPr>
        <w:jc w:val="left"/>
      </w:pPr>
      <w:r>
        <w:t>Eine Ausnahme von der Unwirksamkeitsfolge kann jedoch in Betracht kommen, wenn der Verbraucher beim Abschluss des Vertrages durch einen Rechtsanwalt beraten war und die Klausel Gegenstand ausdrücklicher Verhandlung war (keine AGB mehr i.S.d. § 305 Abs. 1 S. 3 BGB: individuell ausgehandelt). Diese tatrichterliche Prüfung ist unterblieben. Das OLG hat keine Feststellungen getroffen, ob die Klausel § 9 von der Klägerin und ihrer rechtlichen Beraterin individuell ausgehandelt oder lediglich hingenommen wurde.</w:t>
      </w:r>
    </w:p>
    <w:p>
      <w:pPr>
        <w:jc w:val="left"/>
      </w:pPr>
      <w:r>
        <w:rPr>
          <w:b/>
        </w:rPr>
        <w:t>C. Zurückverweisung</w:t>
      </w:r>
    </w:p>
    <w:p>
      <w:pPr>
        <w:jc w:val="left"/>
      </w:pPr>
      <w:r>
        <w:t>Da der Sachverhalt in diesem Punkt nicht entscheidungsreif ist, verweist der Senat die Sache zurück (§ 563 Abs. 1 ZPO). Das Berufungsgericht wird zu prüfen haben:</w:t>
      </w:r>
    </w:p>
    <w:p>
      <w:pPr>
        <w:pStyle w:val="ListNumber"/>
      </w:pPr>
      <w:r>
        <w:t>Ob RA Gerber die Klägerin beim Vertragsschluss beraten hat.</w:t>
      </w:r>
    </w:p>
    <w:p>
      <w:pPr>
        <w:pStyle w:val="ListNumber"/>
      </w:pPr>
      <w:r>
        <w:t>Ob § 9 des Vertrages individuell ausgehandelt wurde (Indizien: Verhandlungsprotokoll, Änderungen am Vertragsentwurf, Zeugnis RA Gerber).</w:t>
      </w:r>
    </w:p>
    <w:p>
      <w:pPr>
        <w:pStyle w:val="ListNumber"/>
      </w:pPr>
      <w:r>
        <w:t>Falls kein individuelles Aushandeln vorliegt: Bestätigung der Unwirksamkeit.</w:t>
      </w:r>
    </w:p>
    <w:p>
      <w:pPr>
        <w:jc w:val="left"/>
      </w:pPr>
      <w:r>
        <w:rPr>
          <w:b/>
        </w:rPr>
        <w:t>D. Im Übrigen (nicht aufgehobene Teile)</w:t>
      </w:r>
    </w:p>
    <w:p>
      <w:pPr>
        <w:jc w:val="left"/>
      </w:pPr>
      <w:r>
        <w:t>Alle übrigen Teile des OLG-Urteils (Baumängel, Folgemängel, Verzögerungsschaden) bleiben rechtskräftig. Insoweit ist die Revision zurückgewiesen.</w:t>
      </w:r>
    </w:p>
    <w:p>
      <w:pPr>
        <w:jc w:val="left"/>
      </w:pPr>
      <w:r>
        <w:rPr>
          <w:b/>
        </w:rPr>
        <w:t>Rechtskräftiger Teil: 539.650 EUR ./. 109.700 EUR = 429.950 EUR</w:t>
      </w:r>
      <w:r>
        <w:t xml:space="preserve"> (vorläufig vollstreckbar nach § 704 ZPO).</w:t>
      </w:r>
    </w:p>
    <w:p/>
    <w:p>
      <w:pPr>
        <w:pStyle w:val="Heading2"/>
      </w:pPr>
      <w:r>
        <w:rPr>
          <w:rFonts w:ascii="Times New Roman" w:hAnsi="Times New Roman"/>
        </w:rPr>
        <w:t>Quellen</w:t>
      </w:r>
    </w:p>
    <w:p>
      <w:pPr>
        <w:pStyle w:val="ListBullet"/>
      </w:pPr>
      <w:r>
        <w:t>§ 563 ZPO (Zurückverweisung) — dejure.org/gesetze/ZPO/563.html</w:t>
      </w:r>
    </w:p>
    <w:p>
      <w:pPr>
        <w:pStyle w:val="ListBullet"/>
      </w:pPr>
      <w:r>
        <w:t>§ 543 ZPO — dejure.org/gesetze/ZPO/543.html</w:t>
      </w:r>
    </w:p>
    <w:p>
      <w:pPr>
        <w:pStyle w:val="ListBullet"/>
      </w:pPr>
      <w:r>
        <w:t>BGH VII ZR 282/14 — bundesgerichtshof.de</w:t>
      </w:r>
    </w:p>
    <w:p>
      <w:pPr>
        <w:pStyle w:val="ListBullet"/>
      </w:pPr>
      <w:r>
        <w:t>§ 305 BGB (AGB-Definition) — dejure.org/gesetze/BGB/305.html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Saalbau Rosenheim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Saalbau Rosenheim GmbH</w:t>
    </w:r>
  </w:p>
  <w:p>
    <w:pPr>
      <w:jc w:val="left"/>
      <w:pBdr>
        <w:bottom w:val="single" w:sz="6" w:space="2" w:color="3B3F45"/>
      </w:pBdr>
    </w:pPr>
    <w:r>
      <w:rPr>
        <w:rFonts w:ascii="Times New Roman" w:hAnsi="Times New Roman"/>
        <w:color w:val="6B6B66"/>
        <w:sz w:val="16"/>
      </w:rPr>
      <w:t>Unternehmen · Az.: VII ZR 2188/26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