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22 — Abschlussvermerk des bearbeitenden Rechtsanwalts</w:t>
      </w:r>
    </w:p>
    <w:p>
      <w:pPr>
        <w:pStyle w:val="Heading2"/>
      </w:pPr>
      <w:r>
        <w:rPr>
          <w:rFonts w:ascii="Times New Roman" w:hAnsi="Times New Roman"/>
        </w:rPr>
        <w:t>Vermerk vom 01.10.2029</w:t>
      </w:r>
    </w:p>
    <w:p>
      <w:pPr>
        <w:jc w:val="left"/>
      </w:pPr>
      <w:r>
        <w:rPr>
          <w:b/>
        </w:rPr>
        <w:t>Aktenzeichen Kanzlei:</w:t>
      </w:r>
      <w:r>
        <w:t xml:space="preserve"> MR-2026-0312</w:t>
      </w:r>
    </w:p>
    <w:p>
      <w:pPr>
        <w:jc w:val="left"/>
      </w:pPr>
      <w:r>
        <w:rPr>
          <w:b/>
        </w:rPr>
        <w:t>Mandantin:</w:t>
      </w:r>
      <w:r>
        <w:t xml:space="preserve"> Margarete Pohlmann</w:t>
      </w:r>
    </w:p>
    <w:p>
      <w:pPr>
        <w:jc w:val="left"/>
      </w:pPr>
      <w:r>
        <w:rPr>
          <w:b/>
        </w:rPr>
        <w:t>Bearbeiter:</w:t>
      </w:r>
      <w:r>
        <w:t xml:space="preserve"> Dr. Mark Roosendaal, Roosendaal Rechtsanwälte, Ludwigstraße 12, 83022 Rosenheim</w:t>
      </w:r>
    </w:p>
    <w:p/>
    <w:p>
      <w:pPr>
        <w:pStyle w:val="Heading2"/>
      </w:pPr>
      <w:r>
        <w:rPr>
          <w:rFonts w:ascii="Times New Roman" w:hAnsi="Times New Roman"/>
        </w:rPr>
        <w:t>Zusammenfassung des Verfahrensstandes</w:t>
      </w:r>
    </w:p>
    <w:p>
      <w:pPr>
        <w:jc w:val="left"/>
      </w:pPr>
      <w:r>
        <w:t>Das Mandat ist mit Wirkung vom 01.10.2029 in die Phase des Zurückverweisungsverfahrens (OLG München, neues Az. 2029) übergetreten. Der folgende Vermerk dokumentiert den bisherigen Verfahrensverlauf und die offenen Punkte.</w:t>
      </w:r>
    </w:p>
    <w:p/>
    <w:p>
      <w:pPr>
        <w:pStyle w:val="Heading2"/>
      </w:pPr>
      <w:r>
        <w:rPr>
          <w:rFonts w:ascii="Times New Roman" w:hAnsi="Times New Roman"/>
        </w:rPr>
        <w:t>Verfahrensergebnis Stand Oktober 2029</w:t>
      </w:r>
    </w:p>
    <w:p>
      <w:pPr>
        <w:pStyle w:val="Heading3"/>
      </w:pPr>
      <w:r>
        <w:rPr>
          <w:rFonts w:ascii="Times New Roman" w:hAnsi="Times New Roman"/>
        </w:rPr>
        <w:t>Rechtskräftig zuerkannt (nach BGH-Urteil vom 10.09.2029)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Mangelbeseitigungskosten (alle 4 Mängel)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102.100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rechtskräftig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Folgemängelschäden (OLG-korrigiert)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rechtskräftig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Bodenaustausch-Mehrkosten (OLG-korrigiert)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offen (Zurückverweisung)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Hotelkosten/Auslagerung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49.600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rechtskräftig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Gutachterkosten Schadensfeststellung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8.400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rechtskräftig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Verzögerungsschaden (angepasst)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rechtskräftig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Bodenaustausch-Anteil (BGH zurückverwiesen)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109.700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Sonstige Positionen (Vertragsstrafe, u.a.)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34.850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rechtskräftig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Rechtskräftiger Teil gesamt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429.950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vollstreckbar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Offener Teil (Zurückverweisung)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109.700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anhängig OLG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Vollstreckung</w:t>
      </w:r>
    </w:p>
    <w:p>
      <w:pPr>
        <w:pStyle w:val="ListBullet"/>
      </w:pPr>
      <w:r>
        <w:t>Vollstreckbare Ausfertigung beantragt: 20.09.2029</w:t>
      </w:r>
    </w:p>
    <w:p>
      <w:pPr>
        <w:pStyle w:val="ListBullet"/>
      </w:pPr>
      <w:r>
        <w:t>Beklagte hat nach Hinweis auf Zwangsvollstreckung Teilzahlung von 200.000 EUR angeboten (abgelehnt, Mandantin besteht auf Zahlung des vollen rechtskräftigen Betrages)</w:t>
      </w:r>
    </w:p>
    <w:p>
      <w:pPr>
        <w:pStyle w:val="ListBullet"/>
      </w:pPr>
      <w:r>
        <w:t>Nächste Maßnahme: Pfändungs- und Überweisungsbeschluss Bankkonten Beklagte (nach Wartefrist)</w:t>
      </w:r>
    </w:p>
    <w:p>
      <w:pPr>
        <w:pStyle w:val="ListBullet"/>
      </w:pPr>
      <w:r>
        <w:t>Vollstreckungsabwehrklage Beklagte (§ 767 ZPO) läuft beim LG Traunstein — Abweisung beantragt</w:t>
      </w:r>
    </w:p>
    <w:p/>
    <w:p>
      <w:pPr>
        <w:pStyle w:val="Heading2"/>
      </w:pPr>
      <w:r>
        <w:rPr>
          <w:rFonts w:ascii="Times New Roman" w:hAnsi="Times New Roman"/>
        </w:rPr>
        <w:t>Kostenabrechnung (provisorisch Stand Oktober 2029)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Phase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Anwaltsgebühren Klägerin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Gerichtsgebühren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Mahnverfahren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3.108,40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828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LG Traunstein (1. Instanz)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28.400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11.600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OLG München (Berufung)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35.200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16.400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BGH (Revision)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48.800 EUR (inkl. BGH-Anwalt)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22.000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Summe gesamt (vorläufig)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ca. 115.500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ca. 50.800 EUR</w:t>
            </w:r>
          </w:p>
        </w:tc>
      </w:tr>
    </w:tbl>
    <w:p>
      <w:pPr>
        <w:jc w:val="left"/>
      </w:pPr>
      <w:r>
        <w:t>Von den Kosten trägt nach bisherigen Kostenentscheidungen die Beklagte den überwiegenden Teil (ca. 75–85 %). Restkosten der Klägerin: schätzungsweise 20.000–30.000 EUR Eigenanteil.</w:t>
      </w:r>
    </w:p>
    <w:p/>
    <w:p>
      <w:pPr>
        <w:pStyle w:val="Heading2"/>
      </w:pPr>
      <w:r>
        <w:rPr>
          <w:rFonts w:ascii="Times New Roman" w:hAnsi="Times New Roman"/>
        </w:rPr>
        <w:t>Kritische Einschätzung des Mandatsverlaufs</w:t>
      </w:r>
    </w:p>
    <w:p>
      <w:pPr>
        <w:jc w:val="left"/>
      </w:pPr>
      <w:r>
        <w:t>Das Mandat hat sich durch den BGH-Sprung erheblich verlängert. Aus anwaltlicher Sicht war die Revisionszulassung durch das OLG vorhersehbar; der grundsätzliche Charakter der AGB-Frage war von Anfang an erkennbar. Zu prüfen ist im Abschluss:</w:t>
      </w:r>
    </w:p>
    <w:p>
      <w:pPr>
        <w:pStyle w:val="ListNumber"/>
      </w:pPr>
      <w:r>
        <w:t>Ob die frühere Mandatsanwältin (RAin Sommer-Krause) Beratungsfehler begangen hat (kein Widerspruch gegen § 9 beim Vertragsschluss, keine frühzeitige Geltendmachung der Bodenaustauschkosten).</w:t>
      </w:r>
    </w:p>
    <w:p>
      <w:pPr>
        <w:pStyle w:val="ListNumber"/>
      </w:pPr>
      <w:r>
        <w:t>Ob ein frühzeitiger Vergleich (LG-Phase, 520.000 EUR) im Interesse der Mandantin war — angesichts der seither angefallenen Kosten wäre er es wahrscheinlich gewesen.</w:t>
      </w:r>
    </w:p>
    <w:p/>
    <w:p>
      <w:pPr>
        <w:pStyle w:val="Heading2"/>
      </w:pPr>
      <w:r>
        <w:rPr>
          <w:rFonts w:ascii="Times New Roman" w:hAnsi="Times New Roman"/>
        </w:rPr>
        <w:t>Offene Mandate / Nächste Schritte</w:t>
      </w:r>
    </w:p>
    <w:p>
      <w:pPr>
        <w:pStyle w:val="ListBullet"/>
      </w:pPr>
      <w:r>
        <w:t>[x] Vollstreckbare Ausfertigung BGH-Urteil / OLG-Urteil beantragen</w:t>
      </w:r>
    </w:p>
    <w:p>
      <w:pPr>
        <w:pStyle w:val="ListBullet"/>
      </w:pPr>
      <w:r>
        <w:t>[ ] Zurückverweisungsverfahren OLG — Terminierung abwarten</w:t>
      </w:r>
    </w:p>
    <w:p>
      <w:pPr>
        <w:pStyle w:val="ListBullet"/>
      </w:pPr>
      <w:r>
        <w:t>[ ] Schriftsatz OLG (Beweisangebote Individualaushandeln) bis November 2029</w:t>
      </w:r>
    </w:p>
    <w:p>
      <w:pPr>
        <w:pStyle w:val="ListBullet"/>
      </w:pPr>
      <w:r>
        <w:t>[ ] Vollstreckungsabwehrklage Beklagte (§ 767 ZPO) — Erwiderung bis Oktober 2029</w:t>
      </w:r>
    </w:p>
    <w:p>
      <w:pPr>
        <w:pStyle w:val="ListBullet"/>
      </w:pPr>
      <w:r>
        <w:t>[ ] Kostenabrechnung Mandantin finalisieren</w:t>
      </w:r>
    </w:p>
    <w:p>
      <w:pPr>
        <w:jc w:val="left"/>
      </w:pPr>
      <w:r>
        <w:t xml:space="preserve">Bearbeiter: </w:t>
      </w:r>
      <w:r>
        <w:rPr>
          <w:b/>
        </w:rPr>
        <w:t>RA Dr. Mark Roosendaal</w:t>
      </w:r>
    </w:p>
    <w:p>
      <w:pPr>
        <w:jc w:val="left"/>
      </w:pPr>
      <w:r>
        <w:t>Kanzlei: Roosendaal Rechtsanwälte, Ludwigstraße 12, 83022 Rosenheim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Roosendaal Rechtsanwälte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2"/>
      </w:rPr>
      <w:t>ROOSENDAAL RECHTSANWÄLTE</w:t>
    </w:r>
  </w:p>
  <w:p>
    <w:pPr>
      <w:jc w:val="left"/>
      <w:pBdr>
        <w:bottom w:val="single" w:sz="8" w:space="2" w:color="8A6A1F"/>
      </w:pBdr>
    </w:pPr>
    <w:r>
      <w:rPr>
        <w:rFonts w:ascii="Times New Roman" w:hAnsi="Times New Roman"/>
        <w:color w:val="6B6B66"/>
        <w:sz w:val="16"/>
      </w:rPr>
      <w:t>Ludwigstraße 12, 83022 Rosenheim · Aktenzeichen Kanzlei: MR-2026-0312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