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Mieter-Informationsschreiben gemäß § 22 ZVG</w:t>
      </w:r>
    </w:p>
    <w:p>
      <w:pPr>
        <w:jc w:val="left"/>
      </w:pPr>
      <w:r>
        <w:rPr>
          <w:b/>
        </w:rPr>
        <w:t>Lindqvist &amp; Partner Insolvenz- und Zwangsverwaltung mbB</w:t>
      </w:r>
    </w:p>
    <w:p>
      <w:pPr>
        <w:jc w:val="left"/>
      </w:pPr>
      <w:r>
        <w:t>Friedrichstraße 218</w:t>
      </w:r>
    </w:p>
    <w:p>
      <w:pPr>
        <w:jc w:val="left"/>
      </w:pPr>
      <w:r>
        <w:t>10969 Berlin</w:t>
      </w:r>
    </w:p>
    <w:p>
      <w:pPr>
        <w:jc w:val="left"/>
      </w:pPr>
      <w:r>
        <w:t>Telefon: 030 / 28 39 47 11</w:t>
      </w:r>
    </w:p>
    <w:p>
      <w:pPr>
        <w:jc w:val="left"/>
      </w:pPr>
      <w:r>
        <w:t>Telefax: 030 / 28 39 47 19</w:t>
      </w:r>
    </w:p>
    <w:p>
      <w:pPr>
        <w:jc w:val="left"/>
      </w:pPr>
      <w:r>
        <w:t>E-Mail: zwangsverwaltung@lindqvist-partner.de</w:t>
      </w:r>
    </w:p>
    <w:p/>
    <w:p>
      <w:pPr>
        <w:jc w:val="left"/>
      </w:pPr>
      <w:r>
        <w:t>An die Mieterinnen und Mieter</w:t>
      </w:r>
    </w:p>
    <w:p>
      <w:pPr>
        <w:jc w:val="left"/>
      </w:pPr>
      <w:r>
        <w:t>des Büro- und Geschäftshauses "Friedrichshöfe"</w:t>
      </w:r>
    </w:p>
    <w:p>
      <w:pPr>
        <w:jc w:val="left"/>
      </w:pPr>
      <w:r>
        <w:t>Friedrichstraße 143–145</w:t>
      </w:r>
    </w:p>
    <w:p>
      <w:pPr>
        <w:jc w:val="left"/>
      </w:pPr>
      <w:r>
        <w:t>10117 Berlin</w:t>
      </w:r>
    </w:p>
    <w:p>
      <w:pPr>
        <w:jc w:val="left"/>
      </w:pPr>
      <w:r>
        <w:t>Berlin, den 28. August 2024</w:t>
      </w:r>
    </w:p>
    <w:p/>
    <w:p>
      <w:pPr>
        <w:pStyle w:val="Heading2"/>
      </w:pPr>
      <w:r>
        <w:rPr>
          <w:rFonts w:ascii="Times New Roman" w:hAnsi="Times New Roman"/>
        </w:rPr>
        <w:t>Betrifft: Anordnung der Zwangsverwaltung — Friedrichstraße 143–145, 10117 Berlin</w:t>
      </w:r>
    </w:p>
    <w:p>
      <w:pPr>
        <w:jc w:val="left"/>
      </w:pPr>
      <w:r>
        <w:rPr>
          <w:b/>
        </w:rPr>
        <w:t>Aktenzeichen:</w:t>
      </w:r>
      <w:r>
        <w:t xml:space="preserve"> Amtsgericht Mitte von Berlin, 36 L 412/24</w:t>
      </w:r>
    </w:p>
    <w:p>
      <w:pPr>
        <w:jc w:val="left"/>
      </w:pPr>
      <w:r>
        <w:t>Sehr geehrte Damen und Herren,</w:t>
      </w:r>
    </w:p>
    <w:p>
      <w:pPr>
        <w:jc w:val="left"/>
      </w:pPr>
      <w:r>
        <w:t>mit Beschluss des Amtsgerichts Mitte von Berlin vom 22. August 2024 (Aktenzeichen 36 L 412/24) ist die Zwangsverwaltung des Büro- und Geschäftshauses "Friedrichshöfe" angeordnet worden. Zur Zwangsverwalterin wurde die Unterzeichnerin bestellt.</w:t>
      </w:r>
    </w:p>
    <w:p>
      <w:pPr>
        <w:jc w:val="left"/>
      </w:pPr>
      <w:r>
        <w:t>Damit gehen die Verwaltung des Objekts, die Verwaltung Ihres Mietverhältnisses sowie das Recht zur Einziehung der Mieten gemäß § 152 ZVG auf die Zwangsverwalterin über. Ihr Mietvertrag bleibt im Übrigen unverändert. Sie bleiben Mieter zu den vertraglich vereinbarten Konditionen. Die Vermieterstellung wird jedoch ausschließlich durch die Zwangsverwaltung wahrgenommen.</w:t>
      </w:r>
    </w:p>
    <w:p>
      <w:pPr>
        <w:pStyle w:val="Heading2"/>
      </w:pPr>
      <w:r>
        <w:rPr>
          <w:rFonts w:ascii="Times New Roman" w:hAnsi="Times New Roman"/>
        </w:rPr>
        <w:t>1. Schuldbefreiende Zahlung ab sofort nur auf das nachstehende Anderkonto</w:t>
      </w:r>
    </w:p>
    <w:p>
      <w:pPr>
        <w:jc w:val="left"/>
      </w:pPr>
      <w:r>
        <w:t>Ab Zugang dieses Schreibens, spätestens jedoch ab Eintragung des Zwangsverwaltungsvermerks im Grundbuch (voraussichtlich Anfang September 2024), sind sämtliche Mietzahlungen — Grundmiete, Nebenkostenvorauszahlungen, Sondernutzungsentgelte (z.B. Tiefgarage), Heizkostenvorauszahlungen, Mehrwertsteueranteile bei gewerblichen Mietverhältnissen — ausschließlich auf das folgende Konto zu zahlen: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Kontoinhaberin</w:t>
            </w:r>
          </w:p>
        </w:tc>
        <w:tc>
          <w:tcPr>
            <w:tcW w:type="dxa" w:w="4536"/>
          </w:tcPr>
          <w:p>
            <w:r>
              <w:rPr>
                <w:rFonts w:ascii="Times New Roman" w:hAnsi="Times New Roman"/>
                <w:b/>
                <w:sz w:val="20"/>
              </w:rPr>
              <w:t>RAin Y. Lindqvist-Bähr — Zwangsverwaltung "Friedrichshöfe" — 36 L 412/24</w:t>
            </w:r>
          </w:p>
        </w:tc>
      </w:tr>
      <w:tr>
        <w:tc>
          <w:tcPr>
            <w:tcW w:type="dxa" w:w="4536"/>
          </w:tcPr>
          <w:p>
            <w:r>
              <w:rPr>
                <w:rFonts w:ascii="Times New Roman" w:hAnsi="Times New Roman"/>
                <w:sz w:val="20"/>
              </w:rPr>
              <w:t>Kreditinstitut</w:t>
            </w:r>
          </w:p>
        </w:tc>
        <w:tc>
          <w:tcPr>
            <w:tcW w:type="dxa" w:w="4536"/>
          </w:tcPr>
          <w:p>
            <w:r>
              <w:rPr>
                <w:rFonts w:ascii="Times New Roman" w:hAnsi="Times New Roman"/>
                <w:sz w:val="20"/>
              </w:rPr>
              <w:t>Berliner Volksbank eG</w:t>
            </w:r>
          </w:p>
        </w:tc>
      </w:tr>
      <w:tr>
        <w:tc>
          <w:tcPr>
            <w:tcW w:type="dxa" w:w="4536"/>
          </w:tcPr>
          <w:p>
            <w:r>
              <w:rPr>
                <w:rFonts w:ascii="Times New Roman" w:hAnsi="Times New Roman"/>
                <w:sz w:val="20"/>
              </w:rPr>
              <w:t>IBAN</w:t>
            </w:r>
          </w:p>
        </w:tc>
        <w:tc>
          <w:tcPr>
            <w:tcW w:type="dxa" w:w="4536"/>
          </w:tcPr>
          <w:p>
            <w:r>
              <w:rPr>
                <w:rFonts w:ascii="Times New Roman" w:hAnsi="Times New Roman"/>
                <w:sz w:val="20"/>
              </w:rPr>
              <w:t>DE38 1009 0000 5547 8932 11</w:t>
            </w:r>
          </w:p>
        </w:tc>
      </w:tr>
      <w:tr>
        <w:tc>
          <w:tcPr>
            <w:tcW w:type="dxa" w:w="4536"/>
          </w:tcPr>
          <w:p>
            <w:r>
              <w:rPr>
                <w:rFonts w:ascii="Times New Roman" w:hAnsi="Times New Roman"/>
                <w:sz w:val="20"/>
              </w:rPr>
              <w:t>BIC</w:t>
            </w:r>
          </w:p>
        </w:tc>
        <w:tc>
          <w:tcPr>
            <w:tcW w:type="dxa" w:w="4536"/>
          </w:tcPr>
          <w:p>
            <w:r>
              <w:rPr>
                <w:rFonts w:ascii="Times New Roman" w:hAnsi="Times New Roman"/>
                <w:sz w:val="20"/>
              </w:rPr>
              <w:t>BEVODEBB</w:t>
            </w:r>
          </w:p>
        </w:tc>
      </w:tr>
      <w:tr>
        <w:tc>
          <w:tcPr>
            <w:tcW w:type="dxa" w:w="4536"/>
          </w:tcPr>
          <w:p>
            <w:r>
              <w:rPr>
                <w:rFonts w:ascii="Times New Roman" w:hAnsi="Times New Roman"/>
                <w:sz w:val="20"/>
              </w:rPr>
              <w:t>Verwendungszweck</w:t>
            </w:r>
          </w:p>
        </w:tc>
        <w:tc>
          <w:tcPr>
            <w:tcW w:type="dxa" w:w="4536"/>
          </w:tcPr>
          <w:p>
            <w:r>
              <w:rPr>
                <w:rFonts w:ascii="Times New Roman" w:hAnsi="Times New Roman"/>
                <w:sz w:val="20"/>
              </w:rPr>
              <w:t>Mieternummer + Mietmonat + Lfd. Nr. (Beispiel: M-024 / 09-2024)</w:t>
            </w:r>
          </w:p>
        </w:tc>
      </w:tr>
    </w:tbl>
    <w:p>
      <w:pPr>
        <w:jc w:val="left"/>
      </w:pPr>
      <w:r>
        <w:t xml:space="preserve">Bitte passen Sie bestehende Daueraufträge, SEPA-Mandate oder Banking-Vorlagen unverzüglich an. </w:t>
      </w:r>
      <w:r>
        <w:rPr>
          <w:b/>
        </w:rPr>
        <w:t>Zahlungen, die nach Eintragung des Zwangsverwaltungsvermerks im Grundbuch noch auf das alte Vermieterkonto der Kronprinz Friedrich Immobilien GmbH &amp; Co. KG geleistet werden, haben gemäß § 22 Abs. 1 ZVG in Verbindung mit § 1124 BGB keine schuldbefreiende Wirkung mehr.</w:t>
      </w:r>
      <w:r>
        <w:t xml:space="preserve"> Sie müssten dann ein zweites Mal zahlen.</w:t>
      </w:r>
    </w:p>
    <w:p>
      <w:pPr>
        <w:jc w:val="left"/>
      </w:pPr>
      <w:r>
        <w:t>Übergangsregelung für September 2024: Sollten Sie bereits einen Dauerauftrag für die Septembermiete auf das alte Konto erteilt haben, gilt diese Zahlung als schuldbefreiend, wenn sie spätestens am 05.09.2024 ausgeführt wurde und Sie uns dies binnen einer Woche nachweisen.</w:t>
      </w:r>
    </w:p>
    <w:p>
      <w:pPr>
        <w:pStyle w:val="Heading2"/>
      </w:pPr>
      <w:r>
        <w:rPr>
          <w:rFonts w:ascii="Times New Roman" w:hAnsi="Times New Roman"/>
        </w:rPr>
        <w:t>2. Ihre Mieternummer</w:t>
      </w:r>
    </w:p>
    <w:p>
      <w:pPr>
        <w:jc w:val="left"/>
      </w:pPr>
      <w:r>
        <w:t>Ihre individuelle Mieternummer entnehmen Sie bitte dem beigefügten persönlichen Anschreiben oder dem Aushang im Eingangsbereich. Bei Fragen wenden Sie sich an unsere Kanzlei (Kontaktdaten oben).</w:t>
      </w:r>
    </w:p>
    <w:p>
      <w:pPr>
        <w:pStyle w:val="Heading2"/>
      </w:pPr>
      <w:r>
        <w:rPr>
          <w:rFonts w:ascii="Times New Roman" w:hAnsi="Times New Roman"/>
        </w:rPr>
        <w:t>3. Mietrückstände, Mietminderungen, offene Punkte</w:t>
      </w:r>
    </w:p>
    <w:p>
      <w:pPr>
        <w:jc w:val="left"/>
      </w:pPr>
      <w:r>
        <w:t>Sollten zum Zeitpunkt der Anordnung der Zwangsverwaltung noch offene Mietzahlungen oder Mietminderungs-Auseinandersetzungen mit dem bisherigen Vermieter bestehen, bitten wir Sie, uns dies binnen vier Wochen schriftlich mit kurzer Sachverhaltsdarstellung mitzuteilen. Wir werden die Sachverhalte sodann prüfen und ggf. die Aufrechnung gegen künftige Mietforderungen oder einen Vergleich anbieten.</w:t>
      </w:r>
    </w:p>
    <w:p>
      <w:pPr>
        <w:jc w:val="left"/>
      </w:pPr>
      <w:r>
        <w:t>Bitte beachten Sie: Aufrechnungen mit Forderungen, die gegen die Schuldnerin (Kronprinz Friedrich Immobilien GmbH &amp; Co. KG) vor Anordnung der Zwangsverwaltung entstanden sind, sind nur eingeschränkt zulässig (§ 392 BGB analog, BGH NJW 2007, 1357). Bitte informieren Sie uns vor jeder Aufrechnung.</w:t>
      </w:r>
    </w:p>
    <w:p>
      <w:pPr>
        <w:pStyle w:val="Heading2"/>
      </w:pPr>
      <w:r>
        <w:rPr>
          <w:rFonts w:ascii="Times New Roman" w:hAnsi="Times New Roman"/>
        </w:rPr>
        <w:t>4. Mängelanzeigen, Reparaturen, Hausmeister</w:t>
      </w:r>
    </w:p>
    <w:p>
      <w:pPr>
        <w:jc w:val="left"/>
      </w:pPr>
      <w:r>
        <w:t>Mängelanzeigen, Reparaturwünsche und Belange der laufenden Gebäudeverwaltung richten Sie ab sofort bitte ausschließlich an:</w:t>
      </w:r>
    </w:p>
    <w:p>
      <w:pPr>
        <w:pStyle w:val="ListBullet"/>
      </w:pPr>
      <w:r>
        <w:t>per E-Mail: zwangsverwaltung@lindqvist-partner.de (Betreff: "Friedrichshöfe / Mieternummer")</w:t>
      </w:r>
    </w:p>
    <w:p>
      <w:pPr>
        <w:pStyle w:val="ListBullet"/>
      </w:pPr>
      <w:r>
        <w:t>per Telefon: 030 / 28 39 47 11 (Sprechzeiten Mo–Fr 9–13 Uhr)</w:t>
      </w:r>
    </w:p>
    <w:p>
      <w:pPr>
        <w:pStyle w:val="ListBullet"/>
      </w:pPr>
      <w:r>
        <w:t>für dringende technische Notfälle (Wasserrohrbruch, Heizungsausfall etc.) außerhalb der Sprechzeiten: Hausmeister Sergio Cortinhal, 0177 / 42 87 561</w:t>
      </w:r>
    </w:p>
    <w:p>
      <w:pPr>
        <w:jc w:val="left"/>
      </w:pPr>
      <w:r>
        <w:t>Herr Cortinhal ist als Hausmeister weiterhin tätig; sein Vertrag wurde von der Zwangsverwaltung übernommen.</w:t>
      </w:r>
    </w:p>
    <w:p>
      <w:pPr>
        <w:pStyle w:val="Heading2"/>
      </w:pPr>
      <w:r>
        <w:rPr>
          <w:rFonts w:ascii="Times New Roman" w:hAnsi="Times New Roman"/>
        </w:rPr>
        <w:t>5. Versicherung, Heizkostenabrechnung, Nebenkostenabrechnung</w:t>
      </w:r>
    </w:p>
    <w:p>
      <w:pPr>
        <w:jc w:val="left"/>
      </w:pPr>
      <w:r>
        <w:t>Die Gebäudeversicherung (Allianz Versicherungs-AG, Police 7-294-3847-2014) wird durch die Zwangsverwaltung fortgeführt. Die nächste Heizkostenabrechnung für die Periode 01.10.2023 bis 30.09.2024 wird voraussichtlich im Dezember 2024 erstellt und übersandt; sie wird im Verteilungsverfahren nach § 155 ZVG berücksichtigt.</w:t>
      </w:r>
    </w:p>
    <w:p>
      <w:pPr>
        <w:pStyle w:val="Heading2"/>
      </w:pPr>
      <w:r>
        <w:rPr>
          <w:rFonts w:ascii="Times New Roman" w:hAnsi="Times New Roman"/>
        </w:rPr>
        <w:t>6. Bestehende Sondernutzungen (Tiefgarage, Lagerräume)</w:t>
      </w:r>
    </w:p>
    <w:p>
      <w:pPr>
        <w:jc w:val="left"/>
      </w:pPr>
      <w:r>
        <w:t>Bestehende Sondernutzungs-Vereinbarungen (Tiefgaragenstellplätze, Lagerräume, Konferenzraum "Forum Friedrichshöfe") bleiben unverändert bestehen. Bei Buchungen des Konferenzraums wenden Sie sich wie bisher an Herrn Cortinhal.</w:t>
      </w:r>
    </w:p>
    <w:p>
      <w:pPr>
        <w:pStyle w:val="Heading2"/>
      </w:pPr>
      <w:r>
        <w:rPr>
          <w:rFonts w:ascii="Times New Roman" w:hAnsi="Times New Roman"/>
        </w:rPr>
        <w:t>7. Bezug zum Insolvenzverfahren</w:t>
      </w:r>
    </w:p>
    <w:p>
      <w:pPr>
        <w:jc w:val="left"/>
      </w:pPr>
      <w:r>
        <w:t>Parallel zur Zwangsverwaltung ist beim Amtsgericht Charlottenburg unter dem Aktenzeichen 36w IN 4721/24 ein Insolvenzverfahren über das Vermögen der Schuldnerin anhängig. Der Insolvenzverwalter (Rechtsanwalt Dr. Florian Westphal) hat erklärt, das Objekt nicht für die Insolvenzmasse beanspruchen zu wollen. Die Zwangsverwaltung wird daher fortgeführt; eine Aussetzung gemäß § 30d ZVG ist nicht beantragt.</w:t>
      </w:r>
    </w:p>
    <w:p>
      <w:pPr>
        <w:pStyle w:val="Heading2"/>
      </w:pPr>
      <w:r>
        <w:rPr>
          <w:rFonts w:ascii="Times New Roman" w:hAnsi="Times New Roman"/>
        </w:rPr>
        <w:t>8. Datenschutz</w:t>
      </w:r>
    </w:p>
    <w:p>
      <w:pPr>
        <w:jc w:val="left"/>
      </w:pPr>
      <w:r>
        <w:t>Die Zwangsverwalterin übernimmt im Zuge der Aktenübergabe die zur Vertragsabwicklung erforderlichen personenbezogenen Daten (Name, Anschrift, Mietvertrag, Bankverbindung, Korrespondenz). Rechtsgrundlage ist Art. 6 Abs. 1 lit. b und f DSGVO in Verbindung mit § 152 ZVG. Die vollständige Datenschutzinformation finden Sie unter www.lindqvist-partner.de/datenschutz oder erhalten sie auf Anforderung in Papierform.</w:t>
      </w:r>
    </w:p>
    <w:p>
      <w:pPr>
        <w:pStyle w:val="Heading2"/>
      </w:pPr>
      <w:r>
        <w:rPr>
          <w:rFonts w:ascii="Times New Roman" w:hAnsi="Times New Roman"/>
        </w:rPr>
        <w:t>9. Rechtsmittel</w:t>
      </w:r>
    </w:p>
    <w:p>
      <w:pPr>
        <w:jc w:val="left"/>
      </w:pPr>
      <w:r>
        <w:t>Gegen den Anordnungsbeschluss des Amtsgerichts Mitte von Berlin vom 22.08.2024 ist die sofortige Beschwerde gemäß § 95 ZVG in Verbindung mit § 567 ff. ZPO statthaft. Für Sie als Mieter besteht regelmäßig kein eigenes Beschwerderecht; Ihre Rechte aus dem Mietverhältnis bleiben unberührt.</w:t>
      </w:r>
    </w:p>
    <w:p/>
    <w:p>
      <w:pPr>
        <w:jc w:val="left"/>
      </w:pPr>
      <w:r>
        <w:t>Wir bitten um Verständnis für diese Umstellung und stehen Ihnen für Rückfragen zur Verfügung.</w:t>
      </w:r>
    </w:p>
    <w:p>
      <w:pPr>
        <w:jc w:val="left"/>
      </w:pPr>
      <w:r>
        <w:t>Mit freundlichen Grüßen</w:t>
      </w:r>
    </w:p>
    <w:p>
      <w:pPr>
        <w:jc w:val="left"/>
      </w:pPr>
      <w:r>
        <w:t>_Yara Solveig Lindqvist-Bähr_</w:t>
      </w:r>
    </w:p>
    <w:p>
      <w:pPr>
        <w:jc w:val="left"/>
      </w:pPr>
      <w:r>
        <w:t>Rechtsanwältin</w:t>
      </w:r>
    </w:p>
    <w:p>
      <w:pPr>
        <w:jc w:val="left"/>
      </w:pPr>
      <w:r>
        <w:t>Zwangsverwalterin in dem Verfahren AG Mitte 36 L 412/24</w:t>
      </w:r>
    </w:p>
    <w:p/>
    <w:p>
      <w:pPr>
        <w:jc w:val="left"/>
      </w:pPr>
      <w:r>
        <w:rPr>
          <w:b/>
        </w:rPr>
        <w:t>Anlagen:</w:t>
      </w:r>
    </w:p>
    <w:p>
      <w:pPr>
        <w:pStyle w:val="ListBullet"/>
      </w:pPr>
      <w:r>
        <w:t>Persönliches Anschreiben mit individueller Mieternummer</w:t>
      </w:r>
    </w:p>
    <w:p>
      <w:pPr>
        <w:pStyle w:val="ListBullet"/>
      </w:pPr>
      <w:r>
        <w:t>SEPA-Lastschriftmandat (für freiwillige Umstellung auf Lastschrifteinzug, optional)</w:t>
      </w:r>
    </w:p>
    <w:p>
      <w:pPr>
        <w:pStyle w:val="ListBullet"/>
      </w:pPr>
      <w:r>
        <w:t>Auszug aus § 22 ZVG / § 1124 BGB</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Lindqvist &amp; Partner Insolvenz- und Zwangsverwaltung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LINDQVIST &amp; PARTNER INSOLVENZ- UND ZWANGSVERWALTUNG MBB</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