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Schlussrechnung Zwangsverwaltung — Übergang nach Versteigerung</w:t>
      </w:r>
    </w:p>
    <w:p>
      <w:pPr>
        <w:jc w:val="left"/>
      </w:pPr>
      <w:r>
        <w:rPr>
          <w:b/>
        </w:rPr>
        <w:t>Lindqvist &amp; Partner Insolvenz- und Zwangsverwaltung mbB</w:t>
      </w:r>
    </w:p>
    <w:p>
      <w:pPr>
        <w:jc w:val="left"/>
      </w:pPr>
      <w:r>
        <w:t>Friedrichstraße 218 · 10969 Berlin</w:t>
      </w:r>
    </w:p>
    <w:p>
      <w:pPr>
        <w:jc w:val="left"/>
      </w:pPr>
      <w:r>
        <w:t>An das Amtsgericht Mitte von Berlin</w:t>
      </w:r>
    </w:p>
    <w:p>
      <w:pPr>
        <w:jc w:val="left"/>
      </w:pPr>
      <w:r>
        <w:t>Zwangsversteigerungsabteilung</w:t>
      </w:r>
    </w:p>
    <w:p>
      <w:pPr>
        <w:jc w:val="left"/>
      </w:pPr>
      <w:r>
        <w:t>Littenstraße 12–17</w:t>
      </w:r>
    </w:p>
    <w:p>
      <w:pPr>
        <w:jc w:val="left"/>
      </w:pPr>
      <w:r>
        <w:t>10179 Berlin</w:t>
      </w:r>
    </w:p>
    <w:p>
      <w:pPr>
        <w:jc w:val="left"/>
      </w:pPr>
      <w:r>
        <w:t>Berlin, den 13. März 2026</w:t>
      </w:r>
    </w:p>
    <w:p/>
    <w:p>
      <w:pPr>
        <w:jc w:val="left"/>
      </w:pPr>
      <w:r>
        <w:rPr>
          <w:b/>
        </w:rPr>
        <w:t>In dem Zwangsverwaltungsverfahren</w:t>
      </w:r>
    </w:p>
    <w:p>
      <w:pPr>
        <w:jc w:val="left"/>
      </w:pPr>
      <w:r>
        <w:t>Alpenländische Hypotheken- und Handelsbank AG ./. Kronprinz Friedrich Immobilien GmbH &amp; Co. KG</w:t>
      </w:r>
    </w:p>
    <w:p>
      <w:pPr>
        <w:jc w:val="left"/>
      </w:pPr>
      <w:r>
        <w:t>Aktenzeichen: 36 L 412/24</w:t>
      </w:r>
    </w:p>
    <w:p>
      <w:pPr>
        <w:jc w:val="left"/>
      </w:pPr>
      <w:r>
        <w:t>Objekt: Büro- und Geschäftshaus "Friedrichshöfe", Friedrichstraße 143–145, 10117 Berlin</w:t>
      </w:r>
    </w:p>
    <w:p>
      <w:pPr>
        <w:jc w:val="left"/>
      </w:pPr>
      <w:r>
        <w:t>erstatte ich folgenden</w:t>
      </w:r>
    </w:p>
    <w:p>
      <w:pPr>
        <w:pStyle w:val="Heading2"/>
      </w:pPr>
      <w:r>
        <w:rPr>
          <w:rFonts w:ascii="Times New Roman" w:hAnsi="Times New Roman"/>
        </w:rPr>
        <w:t>Schlussbericht und Schlussrechnung</w:t>
      </w:r>
    </w:p>
    <w:p>
      <w:pPr>
        <w:pStyle w:val="Heading3"/>
      </w:pPr>
      <w:r>
        <w:rPr>
          <w:rFonts w:ascii="Times New Roman" w:hAnsi="Times New Roman"/>
        </w:rPr>
        <w:t>1. Verfahrensverlauf — 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22.08.2024</w:t>
            </w:r>
          </w:p>
        </w:tc>
        <w:tc>
          <w:tcPr>
            <w:tcW w:type="dxa" w:w="4536"/>
          </w:tcPr>
          <w:p>
            <w:r>
              <w:rPr>
                <w:rFonts w:ascii="Times New Roman" w:hAnsi="Times New Roman"/>
                <w:sz w:val="20"/>
              </w:rPr>
              <w:t>Anordnung der Zwangsverwaltung (Beschluss AG Mitte)</w:t>
            </w:r>
          </w:p>
        </w:tc>
      </w:tr>
      <w:tr>
        <w:tc>
          <w:tcPr>
            <w:tcW w:type="dxa" w:w="4536"/>
          </w:tcPr>
          <w:p>
            <w:r>
              <w:rPr>
                <w:rFonts w:ascii="Times New Roman" w:hAnsi="Times New Roman"/>
                <w:sz w:val="20"/>
              </w:rPr>
              <w:t>28.08.2024</w:t>
            </w:r>
          </w:p>
        </w:tc>
        <w:tc>
          <w:tcPr>
            <w:tcW w:type="dxa" w:w="4536"/>
          </w:tcPr>
          <w:p>
            <w:r>
              <w:rPr>
                <w:rFonts w:ascii="Times New Roman" w:hAnsi="Times New Roman"/>
                <w:sz w:val="20"/>
              </w:rPr>
              <w:t>Besitzübernahme</w:t>
            </w:r>
          </w:p>
        </w:tc>
      </w:tr>
      <w:tr>
        <w:tc>
          <w:tcPr>
            <w:tcW w:type="dxa" w:w="4536"/>
          </w:tcPr>
          <w:p>
            <w:r>
              <w:rPr>
                <w:rFonts w:ascii="Times New Roman" w:hAnsi="Times New Roman"/>
                <w:sz w:val="20"/>
              </w:rPr>
              <w:t>06.09.2024</w:t>
            </w:r>
          </w:p>
        </w:tc>
        <w:tc>
          <w:tcPr>
            <w:tcW w:type="dxa" w:w="4536"/>
          </w:tcPr>
          <w:p>
            <w:r>
              <w:rPr>
                <w:rFonts w:ascii="Times New Roman" w:hAnsi="Times New Roman"/>
                <w:sz w:val="20"/>
              </w:rPr>
              <w:t>Eintragung Zwangsverwaltungsvermerk Grundbuch</w:t>
            </w:r>
          </w:p>
        </w:tc>
      </w:tr>
      <w:tr>
        <w:tc>
          <w:tcPr>
            <w:tcW w:type="dxa" w:w="4536"/>
          </w:tcPr>
          <w:p>
            <w:r>
              <w:rPr>
                <w:rFonts w:ascii="Times New Roman" w:hAnsi="Times New Roman"/>
                <w:sz w:val="20"/>
              </w:rPr>
              <w:t>04.10.2024</w:t>
            </w:r>
          </w:p>
        </w:tc>
        <w:tc>
          <w:tcPr>
            <w:tcW w:type="dxa" w:w="4536"/>
          </w:tcPr>
          <w:p>
            <w:r>
              <w:rPr>
                <w:rFonts w:ascii="Times New Roman" w:hAnsi="Times New Roman"/>
                <w:sz w:val="20"/>
              </w:rPr>
              <w:t>Erstbericht § 154 ZVG</w:t>
            </w:r>
          </w:p>
        </w:tc>
      </w:tr>
      <w:tr>
        <w:tc>
          <w:tcPr>
            <w:tcW w:type="dxa" w:w="4536"/>
          </w:tcPr>
          <w:p>
            <w:r>
              <w:rPr>
                <w:rFonts w:ascii="Times New Roman" w:hAnsi="Times New Roman"/>
                <w:sz w:val="20"/>
              </w:rPr>
              <w:t>17.01.2025</w:t>
            </w:r>
          </w:p>
        </w:tc>
        <w:tc>
          <w:tcPr>
            <w:tcW w:type="dxa" w:w="4536"/>
          </w:tcPr>
          <w:p>
            <w:r>
              <w:rPr>
                <w:rFonts w:ascii="Times New Roman" w:hAnsi="Times New Roman"/>
                <w:sz w:val="20"/>
              </w:rPr>
              <w:t>1. § 155-Verteilungsrechnung (Q4 2024)</w:t>
            </w:r>
          </w:p>
        </w:tc>
      </w:tr>
      <w:tr>
        <w:tc>
          <w:tcPr>
            <w:tcW w:type="dxa" w:w="4536"/>
          </w:tcPr>
          <w:p>
            <w:r>
              <w:rPr>
                <w:rFonts w:ascii="Times New Roman" w:hAnsi="Times New Roman"/>
                <w:sz w:val="20"/>
              </w:rPr>
              <w:t>18.04.2025</w:t>
            </w:r>
          </w:p>
        </w:tc>
        <w:tc>
          <w:tcPr>
            <w:tcW w:type="dxa" w:w="4536"/>
          </w:tcPr>
          <w:p>
            <w:r>
              <w:rPr>
                <w:rFonts w:ascii="Times New Roman" w:hAnsi="Times New Roman"/>
                <w:sz w:val="20"/>
              </w:rPr>
              <w:t>2. § 155-Verteilungsrechnung (Q1 2025)</w:t>
            </w:r>
          </w:p>
        </w:tc>
      </w:tr>
      <w:tr>
        <w:tc>
          <w:tcPr>
            <w:tcW w:type="dxa" w:w="4536"/>
          </w:tcPr>
          <w:p>
            <w:r>
              <w:rPr>
                <w:rFonts w:ascii="Times New Roman" w:hAnsi="Times New Roman"/>
                <w:sz w:val="20"/>
              </w:rPr>
              <w:t>18.06.2025</w:t>
            </w:r>
          </w:p>
        </w:tc>
        <w:tc>
          <w:tcPr>
            <w:tcW w:type="dxa" w:w="4536"/>
          </w:tcPr>
          <w:p>
            <w:r>
              <w:rPr>
                <w:rFonts w:ascii="Times New Roman" w:hAnsi="Times New Roman"/>
                <w:sz w:val="20"/>
              </w:rPr>
              <w:t>Versteigerungstermin (AG Mitte 36 K 487/24)</w:t>
            </w:r>
          </w:p>
        </w:tc>
      </w:tr>
      <w:tr>
        <w:tc>
          <w:tcPr>
            <w:tcW w:type="dxa" w:w="4536"/>
          </w:tcPr>
          <w:p>
            <w:r>
              <w:rPr>
                <w:rFonts w:ascii="Times New Roman" w:hAnsi="Times New Roman"/>
                <w:sz w:val="20"/>
              </w:rPr>
              <w:t>25.06.2025</w:t>
            </w:r>
          </w:p>
        </w:tc>
        <w:tc>
          <w:tcPr>
            <w:tcW w:type="dxa" w:w="4536"/>
          </w:tcPr>
          <w:p>
            <w:r>
              <w:rPr>
                <w:rFonts w:ascii="Times New Roman" w:hAnsi="Times New Roman"/>
                <w:sz w:val="20"/>
              </w:rPr>
              <w:t>Zuschlagsbeschluss an Berliner Immobilien-Asset-Pool II GmbH &amp; Co. KG, Zuschlagspreis EUR 24.500.000,00</w:t>
            </w:r>
          </w:p>
        </w:tc>
      </w:tr>
      <w:tr>
        <w:tc>
          <w:tcPr>
            <w:tcW w:type="dxa" w:w="4536"/>
          </w:tcPr>
          <w:p>
            <w:r>
              <w:rPr>
                <w:rFonts w:ascii="Times New Roman" w:hAnsi="Times New Roman"/>
                <w:sz w:val="20"/>
              </w:rPr>
              <w:t>18.07.2025</w:t>
            </w:r>
          </w:p>
        </w:tc>
        <w:tc>
          <w:tcPr>
            <w:tcW w:type="dxa" w:w="4536"/>
          </w:tcPr>
          <w:p>
            <w:r>
              <w:rPr>
                <w:rFonts w:ascii="Times New Roman" w:hAnsi="Times New Roman"/>
                <w:sz w:val="20"/>
              </w:rPr>
              <w:t>Rechtskraft Zuschlagsbeschluss</w:t>
            </w:r>
          </w:p>
        </w:tc>
      </w:tr>
      <w:tr>
        <w:tc>
          <w:tcPr>
            <w:tcW w:type="dxa" w:w="4536"/>
          </w:tcPr>
          <w:p>
            <w:r>
              <w:rPr>
                <w:rFonts w:ascii="Times New Roman" w:hAnsi="Times New Roman"/>
                <w:sz w:val="20"/>
              </w:rPr>
              <w:t>18.07.2025</w:t>
            </w:r>
          </w:p>
        </w:tc>
        <w:tc>
          <w:tcPr>
            <w:tcW w:type="dxa" w:w="4536"/>
          </w:tcPr>
          <w:p>
            <w:r>
              <w:rPr>
                <w:rFonts w:ascii="Times New Roman" w:hAnsi="Times New Roman"/>
                <w:sz w:val="20"/>
              </w:rPr>
              <w:t>Übergang Verwalterstellung gem. § 152b ZVG auf die Ersteherin</w:t>
            </w:r>
          </w:p>
        </w:tc>
      </w:tr>
      <w:tr>
        <w:tc>
          <w:tcPr>
            <w:tcW w:type="dxa" w:w="4536"/>
          </w:tcPr>
          <w:p>
            <w:r>
              <w:rPr>
                <w:rFonts w:ascii="Times New Roman" w:hAnsi="Times New Roman"/>
                <w:sz w:val="20"/>
              </w:rPr>
              <w:t>25.07.2025</w:t>
            </w:r>
          </w:p>
        </w:tc>
        <w:tc>
          <w:tcPr>
            <w:tcW w:type="dxa" w:w="4536"/>
          </w:tcPr>
          <w:p>
            <w:r>
              <w:rPr>
                <w:rFonts w:ascii="Times New Roman" w:hAnsi="Times New Roman"/>
                <w:sz w:val="20"/>
              </w:rPr>
              <w:t>3. § 155-Verteilungsrechnung (Q2 2025 abschließend)</w:t>
            </w:r>
          </w:p>
        </w:tc>
      </w:tr>
      <w:tr>
        <w:tc>
          <w:tcPr>
            <w:tcW w:type="dxa" w:w="4536"/>
          </w:tcPr>
          <w:p>
            <w:r>
              <w:rPr>
                <w:rFonts w:ascii="Times New Roman" w:hAnsi="Times New Roman"/>
                <w:sz w:val="20"/>
              </w:rPr>
              <w:t>12.09.2025</w:t>
            </w:r>
          </w:p>
        </w:tc>
        <w:tc>
          <w:tcPr>
            <w:tcW w:type="dxa" w:w="4536"/>
          </w:tcPr>
          <w:p>
            <w:r>
              <w:rPr>
                <w:rFonts w:ascii="Times New Roman" w:hAnsi="Times New Roman"/>
                <w:sz w:val="20"/>
              </w:rPr>
              <w:t>Endgültige Aufrechnungs- und Abrechnungs-Abstimmung mit Ersteherin</w:t>
            </w:r>
          </w:p>
        </w:tc>
      </w:tr>
      <w:tr>
        <w:tc>
          <w:tcPr>
            <w:tcW w:type="dxa" w:w="4536"/>
          </w:tcPr>
          <w:p>
            <w:r>
              <w:rPr>
                <w:rFonts w:ascii="Times New Roman" w:hAnsi="Times New Roman"/>
                <w:sz w:val="20"/>
              </w:rPr>
              <w:t>03.02.2026</w:t>
            </w:r>
          </w:p>
        </w:tc>
        <w:tc>
          <w:tcPr>
            <w:tcW w:type="dxa" w:w="4536"/>
          </w:tcPr>
          <w:p>
            <w:r>
              <w:rPr>
                <w:rFonts w:ascii="Times New Roman" w:hAnsi="Times New Roman"/>
                <w:sz w:val="20"/>
              </w:rPr>
              <w:t>Anhörung gem. § 11 ZwVwV zur Schlussrechnung</w:t>
            </w:r>
          </w:p>
        </w:tc>
      </w:tr>
      <w:tr>
        <w:tc>
          <w:tcPr>
            <w:tcW w:type="dxa" w:w="4536"/>
          </w:tcPr>
          <w:p>
            <w:r>
              <w:rPr>
                <w:rFonts w:ascii="Times New Roman" w:hAnsi="Times New Roman"/>
                <w:sz w:val="20"/>
              </w:rPr>
              <w:t>13.03.2026</w:t>
            </w:r>
          </w:p>
        </w:tc>
        <w:tc>
          <w:tcPr>
            <w:tcW w:type="dxa" w:w="4536"/>
          </w:tcPr>
          <w:p>
            <w:r>
              <w:rPr>
                <w:rFonts w:ascii="Times New Roman" w:hAnsi="Times New Roman"/>
                <w:sz w:val="20"/>
              </w:rPr>
              <w:t>Schlussbericht und Schlussrechnung</w:t>
            </w:r>
          </w:p>
        </w:tc>
      </w:tr>
    </w:tbl>
    <w:p>
      <w:pPr>
        <w:jc w:val="left"/>
      </w:pPr>
      <w:r>
        <w:t>Die Zwangsverwaltung ist mit Rechtskraft des Zuschlagsbeschlusses am 18.07.2025 nicht aufgehoben, sondern gemäß § 152b ZVG auf die Ersteherin übergegangen. Allerdings hat das Vollstreckungsgericht mit Beschluss vom 23.07.2025 die Zwangsverwaltung auf Antrag der Ersteherin förmlich aufgehoben, da die Ersteherin (Berliner Immobilien-Asset-Pool II GmbH &amp; Co. KG) eigene Verwaltungsstrukturen aufgebaut hat. Die Übergabe an die neue Eigentümerin erfolgte am 25.07.2025.</w:t>
      </w:r>
    </w:p>
    <w:p>
      <w:pPr>
        <w:jc w:val="left"/>
      </w:pPr>
      <w:r>
        <w:t>Anschließend habe ich die noch offenen Forderungs- und Verteilungs-Restpositionen für die Periode 01.04. bis 25.07.2025 abgerechnet, die Schluss-Verteilungsrechnung erstellt und die Abrechnung mit der Ersteherin abgeschlossen.</w:t>
      </w:r>
    </w:p>
    <w:p>
      <w:pPr>
        <w:pStyle w:val="Heading3"/>
      </w:pPr>
      <w:r>
        <w:rPr>
          <w:rFonts w:ascii="Times New Roman" w:hAnsi="Times New Roman"/>
        </w:rPr>
        <w:t>2. Gesamteinnahmen 22.08.2024 bis 25.07.2025</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w:t>
            </w:r>
          </w:p>
        </w:tc>
      </w:tr>
      <w:tr>
        <w:tc>
          <w:tcPr>
            <w:tcW w:type="dxa" w:w="4536"/>
          </w:tcPr>
          <w:p>
            <w:r>
              <w:rPr>
                <w:rFonts w:ascii="Times New Roman" w:hAnsi="Times New Roman"/>
                <w:sz w:val="20"/>
              </w:rPr>
              <w:t>Mieteinnahmen netto kalt (Kaltmiete + Sondernutzungen)</w:t>
            </w:r>
          </w:p>
        </w:tc>
        <w:tc>
          <w:tcPr>
            <w:tcW w:type="dxa" w:w="4536"/>
          </w:tcPr>
          <w:p>
            <w:r>
              <w:rPr>
                <w:rFonts w:ascii="Times New Roman" w:hAnsi="Times New Roman"/>
                <w:sz w:val="20"/>
              </w:rPr>
              <w:t>4.846.892,00</w:t>
            </w:r>
          </w:p>
        </w:tc>
      </w:tr>
      <w:tr>
        <w:tc>
          <w:tcPr>
            <w:tcW w:type="dxa" w:w="4536"/>
          </w:tcPr>
          <w:p>
            <w:r>
              <w:rPr>
                <w:rFonts w:ascii="Times New Roman" w:hAnsi="Times New Roman"/>
                <w:sz w:val="20"/>
              </w:rPr>
              <w:t>Nebenkosten-Vorauszahlungen</w:t>
            </w:r>
          </w:p>
        </w:tc>
        <w:tc>
          <w:tcPr>
            <w:tcW w:type="dxa" w:w="4536"/>
          </w:tcPr>
          <w:p>
            <w:r>
              <w:rPr>
                <w:rFonts w:ascii="Times New Roman" w:hAnsi="Times New Roman"/>
                <w:sz w:val="20"/>
              </w:rPr>
              <w:t>887.420,00</w:t>
            </w:r>
          </w:p>
        </w:tc>
      </w:tr>
      <w:tr>
        <w:tc>
          <w:tcPr>
            <w:tcW w:type="dxa" w:w="4536"/>
          </w:tcPr>
          <w:p>
            <w:r>
              <w:rPr>
                <w:rFonts w:ascii="Times New Roman" w:hAnsi="Times New Roman"/>
                <w:sz w:val="20"/>
              </w:rPr>
              <w:t>Heizkosten-Abrechnungs-Saldo</w:t>
            </w:r>
          </w:p>
        </w:tc>
        <w:tc>
          <w:tcPr>
            <w:tcW w:type="dxa" w:w="4536"/>
          </w:tcPr>
          <w:p>
            <w:r>
              <w:rPr>
                <w:rFonts w:ascii="Times New Roman" w:hAnsi="Times New Roman"/>
                <w:sz w:val="20"/>
              </w:rPr>
              <w:t>14.230,00</w:t>
            </w:r>
          </w:p>
        </w:tc>
      </w:tr>
      <w:tr>
        <w:tc>
          <w:tcPr>
            <w:tcW w:type="dxa" w:w="4536"/>
          </w:tcPr>
          <w:p>
            <w:r>
              <w:rPr>
                <w:rFonts w:ascii="Times New Roman" w:hAnsi="Times New Roman"/>
                <w:sz w:val="20"/>
              </w:rPr>
              <w:t>Aurelius-Forderung (durch Vollstreckung beigetrieben Juli 2025)</w:t>
            </w:r>
          </w:p>
        </w:tc>
        <w:tc>
          <w:tcPr>
            <w:tcW w:type="dxa" w:w="4536"/>
          </w:tcPr>
          <w:p>
            <w:r>
              <w:rPr>
                <w:rFonts w:ascii="Times New Roman" w:hAnsi="Times New Roman"/>
                <w:sz w:val="20"/>
              </w:rPr>
              <w:t>12.485,00</w:t>
            </w:r>
          </w:p>
        </w:tc>
      </w:tr>
      <w:tr>
        <w:tc>
          <w:tcPr>
            <w:tcW w:type="dxa" w:w="4536"/>
          </w:tcPr>
          <w:p>
            <w:r>
              <w:rPr>
                <w:rFonts w:ascii="Times New Roman" w:hAnsi="Times New Roman"/>
                <w:sz w:val="20"/>
              </w:rPr>
              <w:t>Zinsen Anderkonto</w:t>
            </w:r>
          </w:p>
        </w:tc>
        <w:tc>
          <w:tcPr>
            <w:tcW w:type="dxa" w:w="4536"/>
          </w:tcPr>
          <w:p>
            <w:r>
              <w:rPr>
                <w:rFonts w:ascii="Times New Roman" w:hAnsi="Times New Roman"/>
                <w:sz w:val="20"/>
              </w:rPr>
              <w:t>6.842,00</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5.767.869,00</w:t>
            </w:r>
          </w:p>
        </w:tc>
      </w:tr>
    </w:tbl>
    <w:p>
      <w:pPr>
        <w:pStyle w:val="Heading3"/>
      </w:pPr>
      <w:r>
        <w:rPr>
          <w:rFonts w:ascii="Times New Roman" w:hAnsi="Times New Roman"/>
        </w:rPr>
        <w:t>3. Gesamtausgaben 22.08.2024 bis 25.07.2025</w:t>
      </w:r>
    </w:p>
    <w:p>
      <w:pPr>
        <w:pStyle w:val="Heading3"/>
      </w:pPr>
      <w:r>
        <w:rPr>
          <w:rFonts w:ascii="Times New Roman" w:hAnsi="Times New Roman"/>
        </w:rPr>
        <w:t>3.1 Bewirtschaftung</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w:t>
            </w:r>
          </w:p>
        </w:tc>
      </w:tr>
      <w:tr>
        <w:tc>
          <w:tcPr>
            <w:tcW w:type="dxa" w:w="4536"/>
          </w:tcPr>
          <w:p>
            <w:r>
              <w:rPr>
                <w:rFonts w:ascii="Times New Roman" w:hAnsi="Times New Roman"/>
                <w:sz w:val="20"/>
              </w:rPr>
              <w:t>Hausmeister Cortinhal (11 Mon. à 4.200)</w:t>
            </w:r>
          </w:p>
        </w:tc>
        <w:tc>
          <w:tcPr>
            <w:tcW w:type="dxa" w:w="4536"/>
          </w:tcPr>
          <w:p>
            <w:r>
              <w:rPr>
                <w:rFonts w:ascii="Times New Roman" w:hAnsi="Times New Roman"/>
                <w:sz w:val="20"/>
              </w:rPr>
              <w:t>46.200,00</w:t>
            </w:r>
          </w:p>
        </w:tc>
      </w:tr>
      <w:tr>
        <w:tc>
          <w:tcPr>
            <w:tcW w:type="dxa" w:w="4536"/>
          </w:tcPr>
          <w:p>
            <w:r>
              <w:rPr>
                <w:rFonts w:ascii="Times New Roman" w:hAnsi="Times New Roman"/>
                <w:sz w:val="20"/>
              </w:rPr>
              <w:t>Sicherheitsdienst B&amp;S Wachschutz (11 Mon. à 7.860)</w:t>
            </w:r>
          </w:p>
        </w:tc>
        <w:tc>
          <w:tcPr>
            <w:tcW w:type="dxa" w:w="4536"/>
          </w:tcPr>
          <w:p>
            <w:r>
              <w:rPr>
                <w:rFonts w:ascii="Times New Roman" w:hAnsi="Times New Roman"/>
                <w:sz w:val="20"/>
              </w:rPr>
              <w:t>86.460,00</w:t>
            </w:r>
          </w:p>
        </w:tc>
      </w:tr>
      <w:tr>
        <w:tc>
          <w:tcPr>
            <w:tcW w:type="dxa" w:w="4536"/>
          </w:tcPr>
          <w:p>
            <w:r>
              <w:rPr>
                <w:rFonts w:ascii="Times New Roman" w:hAnsi="Times New Roman"/>
                <w:sz w:val="20"/>
              </w:rPr>
              <w:t>Reinigung Glanzpunkt (11 Mon. à 12.400)</w:t>
            </w:r>
          </w:p>
        </w:tc>
        <w:tc>
          <w:tcPr>
            <w:tcW w:type="dxa" w:w="4536"/>
          </w:tcPr>
          <w:p>
            <w:r>
              <w:rPr>
                <w:rFonts w:ascii="Times New Roman" w:hAnsi="Times New Roman"/>
                <w:sz w:val="20"/>
              </w:rPr>
              <w:t>136.400,00</w:t>
            </w:r>
          </w:p>
        </w:tc>
      </w:tr>
      <w:tr>
        <w:tc>
          <w:tcPr>
            <w:tcW w:type="dxa" w:w="4536"/>
          </w:tcPr>
          <w:p>
            <w:r>
              <w:rPr>
                <w:rFonts w:ascii="Times New Roman" w:hAnsi="Times New Roman"/>
                <w:sz w:val="20"/>
              </w:rPr>
              <w:t>Wartung Aufzüge Schindler</w:t>
            </w:r>
          </w:p>
        </w:tc>
        <w:tc>
          <w:tcPr>
            <w:tcW w:type="dxa" w:w="4536"/>
          </w:tcPr>
          <w:p>
            <w:r>
              <w:rPr>
                <w:rFonts w:ascii="Times New Roman" w:hAnsi="Times New Roman"/>
                <w:sz w:val="20"/>
              </w:rPr>
              <w:t>20.317,00</w:t>
            </w:r>
          </w:p>
        </w:tc>
      </w:tr>
      <w:tr>
        <w:tc>
          <w:tcPr>
            <w:tcW w:type="dxa" w:w="4536"/>
          </w:tcPr>
          <w:p>
            <w:r>
              <w:rPr>
                <w:rFonts w:ascii="Times New Roman" w:hAnsi="Times New Roman"/>
                <w:sz w:val="20"/>
              </w:rPr>
              <w:t>Wartung Heizung / Klima Brackmann</w:t>
            </w:r>
          </w:p>
        </w:tc>
        <w:tc>
          <w:tcPr>
            <w:tcW w:type="dxa" w:w="4536"/>
          </w:tcPr>
          <w:p>
            <w:r>
              <w:rPr>
                <w:rFonts w:ascii="Times New Roman" w:hAnsi="Times New Roman"/>
                <w:sz w:val="20"/>
              </w:rPr>
              <w:t>6.732,00</w:t>
            </w:r>
          </w:p>
        </w:tc>
      </w:tr>
      <w:tr>
        <w:tc>
          <w:tcPr>
            <w:tcW w:type="dxa" w:w="4536"/>
          </w:tcPr>
          <w:p>
            <w:r>
              <w:rPr>
                <w:rFonts w:ascii="Times New Roman" w:hAnsi="Times New Roman"/>
                <w:sz w:val="20"/>
              </w:rPr>
              <w:t>Strom Allgemein Vattenfall</w:t>
            </w:r>
          </w:p>
        </w:tc>
        <w:tc>
          <w:tcPr>
            <w:tcW w:type="dxa" w:w="4536"/>
          </w:tcPr>
          <w:p>
            <w:r>
              <w:rPr>
                <w:rFonts w:ascii="Times New Roman" w:hAnsi="Times New Roman"/>
                <w:sz w:val="20"/>
              </w:rPr>
              <w:t>35.402,40</w:t>
            </w:r>
          </w:p>
        </w:tc>
      </w:tr>
      <w:tr>
        <w:tc>
          <w:tcPr>
            <w:tcW w:type="dxa" w:w="4536"/>
          </w:tcPr>
          <w:p>
            <w:r>
              <w:rPr>
                <w:rFonts w:ascii="Times New Roman" w:hAnsi="Times New Roman"/>
                <w:sz w:val="20"/>
              </w:rPr>
              <w:t>Wasser / Abwasser BWB</w:t>
            </w:r>
          </w:p>
        </w:tc>
        <w:tc>
          <w:tcPr>
            <w:tcW w:type="dxa" w:w="4536"/>
          </w:tcPr>
          <w:p>
            <w:r>
              <w:rPr>
                <w:rFonts w:ascii="Times New Roman" w:hAnsi="Times New Roman"/>
                <w:sz w:val="20"/>
              </w:rPr>
              <w:t>10.367,50</w:t>
            </w:r>
          </w:p>
        </w:tc>
      </w:tr>
      <w:tr>
        <w:tc>
          <w:tcPr>
            <w:tcW w:type="dxa" w:w="4536"/>
          </w:tcPr>
          <w:p>
            <w:r>
              <w:rPr>
                <w:rFonts w:ascii="Times New Roman" w:hAnsi="Times New Roman"/>
                <w:sz w:val="20"/>
              </w:rPr>
              <w:t>Müllabfuhr BSR</w:t>
            </w:r>
          </w:p>
        </w:tc>
        <w:tc>
          <w:tcPr>
            <w:tcW w:type="dxa" w:w="4536"/>
          </w:tcPr>
          <w:p>
            <w:r>
              <w:rPr>
                <w:rFonts w:ascii="Times New Roman" w:hAnsi="Times New Roman"/>
                <w:sz w:val="20"/>
              </w:rPr>
              <w:t>12.364,00</w:t>
            </w:r>
          </w:p>
        </w:tc>
      </w:tr>
      <w:tr>
        <w:tc>
          <w:tcPr>
            <w:tcW w:type="dxa" w:w="4536"/>
          </w:tcPr>
          <w:p>
            <w:r>
              <w:rPr>
                <w:rFonts w:ascii="Times New Roman" w:hAnsi="Times New Roman"/>
                <w:sz w:val="20"/>
              </w:rPr>
              <w:t>Fernwärme Vattenfall</w:t>
            </w:r>
          </w:p>
        </w:tc>
        <w:tc>
          <w:tcPr>
            <w:tcW w:type="dxa" w:w="4536"/>
          </w:tcPr>
          <w:p>
            <w:r>
              <w:rPr>
                <w:rFonts w:ascii="Times New Roman" w:hAnsi="Times New Roman"/>
                <w:sz w:val="20"/>
              </w:rPr>
              <w:t>90.420,00</w:t>
            </w:r>
          </w:p>
        </w:tc>
      </w:tr>
      <w:tr>
        <w:tc>
          <w:tcPr>
            <w:tcW w:type="dxa" w:w="4536"/>
          </w:tcPr>
          <w:p>
            <w:r>
              <w:rPr>
                <w:rFonts w:ascii="Times New Roman" w:hAnsi="Times New Roman"/>
                <w:sz w:val="20"/>
              </w:rPr>
              <w:t>Versicherung Gebäude Allianz</w:t>
            </w:r>
          </w:p>
        </w:tc>
        <w:tc>
          <w:tcPr>
            <w:tcW w:type="dxa" w:w="4536"/>
          </w:tcPr>
          <w:p>
            <w:r>
              <w:rPr>
                <w:rFonts w:ascii="Times New Roman" w:hAnsi="Times New Roman"/>
                <w:sz w:val="20"/>
              </w:rPr>
              <w:t>50.820,00</w:t>
            </w:r>
          </w:p>
        </w:tc>
      </w:tr>
      <w:tr>
        <w:tc>
          <w:tcPr>
            <w:tcW w:type="dxa" w:w="4536"/>
          </w:tcPr>
          <w:p>
            <w:r>
              <w:rPr>
                <w:rFonts w:ascii="Times New Roman" w:hAnsi="Times New Roman"/>
                <w:sz w:val="20"/>
              </w:rPr>
              <w:t>Grundsteuer Berlin</w:t>
            </w:r>
          </w:p>
        </w:tc>
        <w:tc>
          <w:tcPr>
            <w:tcW w:type="dxa" w:w="4536"/>
          </w:tcPr>
          <w:p>
            <w:r>
              <w:rPr>
                <w:rFonts w:ascii="Times New Roman" w:hAnsi="Times New Roman"/>
                <w:sz w:val="20"/>
              </w:rPr>
              <w:t>31.240,00</w:t>
            </w:r>
          </w:p>
        </w:tc>
      </w:tr>
      <w:tr>
        <w:tc>
          <w:tcPr>
            <w:tcW w:type="dxa" w:w="4536"/>
          </w:tcPr>
          <w:p>
            <w:r>
              <w:rPr>
                <w:rFonts w:ascii="Times New Roman" w:hAnsi="Times New Roman"/>
                <w:sz w:val="20"/>
              </w:rPr>
              <w:t>Reparaturen / Kleinreparaturen</w:t>
            </w:r>
          </w:p>
        </w:tc>
        <w:tc>
          <w:tcPr>
            <w:tcW w:type="dxa" w:w="4536"/>
          </w:tcPr>
          <w:p>
            <w:r>
              <w:rPr>
                <w:rFonts w:ascii="Times New Roman" w:hAnsi="Times New Roman"/>
                <w:sz w:val="20"/>
              </w:rPr>
              <w:t>17.847,30</w:t>
            </w:r>
          </w:p>
        </w:tc>
      </w:tr>
      <w:tr>
        <w:tc>
          <w:tcPr>
            <w:tcW w:type="dxa" w:w="4536"/>
          </w:tcPr>
          <w:p>
            <w:r>
              <w:rPr>
                <w:rFonts w:ascii="Times New Roman" w:hAnsi="Times New Roman"/>
                <w:sz w:val="20"/>
              </w:rPr>
              <w:t>VdS-Wiederholungsprüfung BMA</w:t>
            </w:r>
          </w:p>
        </w:tc>
        <w:tc>
          <w:tcPr>
            <w:tcW w:type="dxa" w:w="4536"/>
          </w:tcPr>
          <w:p>
            <w:r>
              <w:rPr>
                <w:rFonts w:ascii="Times New Roman" w:hAnsi="Times New Roman"/>
                <w:sz w:val="20"/>
              </w:rPr>
              <w:t>2.840,00</w:t>
            </w:r>
          </w:p>
        </w:tc>
      </w:tr>
      <w:tr>
        <w:tc>
          <w:tcPr>
            <w:tcW w:type="dxa" w:w="4536"/>
          </w:tcPr>
          <w:p>
            <w:r>
              <w:rPr>
                <w:rFonts w:ascii="Times New Roman" w:hAnsi="Times New Roman"/>
                <w:sz w:val="20"/>
              </w:rPr>
              <w:t>Dachabdichtung Hofseite</w:t>
            </w:r>
          </w:p>
        </w:tc>
        <w:tc>
          <w:tcPr>
            <w:tcW w:type="dxa" w:w="4536"/>
          </w:tcPr>
          <w:p>
            <w:r>
              <w:rPr>
                <w:rFonts w:ascii="Times New Roman" w:hAnsi="Times New Roman"/>
                <w:sz w:val="20"/>
              </w:rPr>
              <w:t>12.500,00</w:t>
            </w:r>
          </w:p>
        </w:tc>
      </w:tr>
      <w:tr>
        <w:tc>
          <w:tcPr>
            <w:tcW w:type="dxa" w:w="4536"/>
          </w:tcPr>
          <w:p>
            <w:r>
              <w:rPr>
                <w:rFonts w:ascii="Times New Roman" w:hAnsi="Times New Roman"/>
                <w:sz w:val="20"/>
              </w:rPr>
              <w:t>Anstrich Etage 4 West (n. Wasserschaden)</w:t>
            </w:r>
          </w:p>
        </w:tc>
        <w:tc>
          <w:tcPr>
            <w:tcW w:type="dxa" w:w="4536"/>
          </w:tcPr>
          <w:p>
            <w:r>
              <w:rPr>
                <w:rFonts w:ascii="Times New Roman" w:hAnsi="Times New Roman"/>
                <w:sz w:val="20"/>
              </w:rPr>
              <w:t>3.200,00</w:t>
            </w:r>
          </w:p>
        </w:tc>
      </w:tr>
      <w:tr>
        <w:tc>
          <w:tcPr>
            <w:tcW w:type="dxa" w:w="4536"/>
          </w:tcPr>
          <w:p>
            <w:r>
              <w:rPr>
                <w:rFonts w:ascii="Times New Roman" w:hAnsi="Times New Roman"/>
                <w:sz w:val="20"/>
              </w:rPr>
              <w:t>Aufzug 2 Türwartung außerplanmäßig</w:t>
            </w:r>
          </w:p>
        </w:tc>
        <w:tc>
          <w:tcPr>
            <w:tcW w:type="dxa" w:w="4536"/>
          </w:tcPr>
          <w:p>
            <w:r>
              <w:rPr>
                <w:rFonts w:ascii="Times New Roman" w:hAnsi="Times New Roman"/>
                <w:sz w:val="20"/>
              </w:rPr>
              <w:t>1.800,00</w:t>
            </w:r>
          </w:p>
        </w:tc>
      </w:tr>
      <w:tr>
        <w:tc>
          <w:tcPr>
            <w:tcW w:type="dxa" w:w="4536"/>
          </w:tcPr>
          <w:p>
            <w:r>
              <w:rPr>
                <w:rFonts w:ascii="Times New Roman" w:hAnsi="Times New Roman"/>
                <w:sz w:val="20"/>
              </w:rPr>
              <w:t>Vermarktungs-Kosten Engel &amp; Völkers (Et. 6 + EG-W + Et. 3 Süd)</w:t>
            </w:r>
          </w:p>
        </w:tc>
        <w:tc>
          <w:tcPr>
            <w:tcW w:type="dxa" w:w="4536"/>
          </w:tcPr>
          <w:p>
            <w:r>
              <w:rPr>
                <w:rFonts w:ascii="Times New Roman" w:hAnsi="Times New Roman"/>
                <w:sz w:val="20"/>
              </w:rPr>
              <w:t>49.587,20</w:t>
            </w:r>
          </w:p>
        </w:tc>
      </w:tr>
      <w:tr>
        <w:tc>
          <w:tcPr>
            <w:tcW w:type="dxa" w:w="4536"/>
          </w:tcPr>
          <w:p>
            <w:r>
              <w:rPr>
                <w:rFonts w:ascii="Times New Roman" w:hAnsi="Times New Roman"/>
                <w:sz w:val="20"/>
              </w:rPr>
              <w:t>Anwaltskosten Räumungsklage Aurelius</w:t>
            </w:r>
          </w:p>
        </w:tc>
        <w:tc>
          <w:tcPr>
            <w:tcW w:type="dxa" w:w="4536"/>
          </w:tcPr>
          <w:p>
            <w:r>
              <w:rPr>
                <w:rFonts w:ascii="Times New Roman" w:hAnsi="Times New Roman"/>
                <w:sz w:val="20"/>
              </w:rPr>
              <w:t>4.720,00</w:t>
            </w:r>
          </w:p>
        </w:tc>
      </w:tr>
      <w:tr>
        <w:tc>
          <w:tcPr>
            <w:tcW w:type="dxa" w:w="4536"/>
          </w:tcPr>
          <w:p>
            <w:r>
              <w:rPr>
                <w:rFonts w:ascii="Times New Roman" w:hAnsi="Times New Roman"/>
                <w:sz w:val="20"/>
              </w:rPr>
              <w:t>Bank- und Buchungsgebühren</w:t>
            </w:r>
          </w:p>
        </w:tc>
        <w:tc>
          <w:tcPr>
            <w:tcW w:type="dxa" w:w="4536"/>
          </w:tcPr>
          <w:p>
            <w:r>
              <w:rPr>
                <w:rFonts w:ascii="Times New Roman" w:hAnsi="Times New Roman"/>
                <w:sz w:val="20"/>
              </w:rPr>
              <w:t>1.142,40</w:t>
            </w:r>
          </w:p>
        </w:tc>
      </w:tr>
      <w:tr>
        <w:tc>
          <w:tcPr>
            <w:tcW w:type="dxa" w:w="4536"/>
          </w:tcPr>
          <w:p>
            <w:r>
              <w:rPr>
                <w:rFonts w:ascii="Times New Roman" w:hAnsi="Times New Roman"/>
                <w:b/>
                <w:sz w:val="20"/>
              </w:rPr>
              <w:t>Summe Bewirtschaftung</w:t>
            </w:r>
          </w:p>
        </w:tc>
        <w:tc>
          <w:tcPr>
            <w:tcW w:type="dxa" w:w="4536"/>
          </w:tcPr>
          <w:p>
            <w:r>
              <w:rPr>
                <w:rFonts w:ascii="Times New Roman" w:hAnsi="Times New Roman"/>
                <w:b/>
                <w:sz w:val="20"/>
              </w:rPr>
              <w:t>620.359,80</w:t>
            </w:r>
          </w:p>
        </w:tc>
      </w:tr>
    </w:tbl>
    <w:p>
      <w:pPr>
        <w:pStyle w:val="Heading3"/>
      </w:pPr>
      <w:r>
        <w:rPr>
          <w:rFonts w:ascii="Times New Roman" w:hAnsi="Times New Roman"/>
        </w:rPr>
        <w:t>3.2 Verfahrenskosten</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w:t>
            </w:r>
          </w:p>
        </w:tc>
      </w:tr>
      <w:tr>
        <w:tc>
          <w:tcPr>
            <w:tcW w:type="dxa" w:w="4536"/>
          </w:tcPr>
          <w:p>
            <w:r>
              <w:rPr>
                <w:rFonts w:ascii="Times New Roman" w:hAnsi="Times New Roman"/>
                <w:sz w:val="20"/>
              </w:rPr>
              <w:t>Gerichtskosten / Auslagen Gerichtsverfahren</w:t>
            </w:r>
          </w:p>
        </w:tc>
        <w:tc>
          <w:tcPr>
            <w:tcW w:type="dxa" w:w="4536"/>
          </w:tcPr>
          <w:p>
            <w:r>
              <w:rPr>
                <w:rFonts w:ascii="Times New Roman" w:hAnsi="Times New Roman"/>
                <w:sz w:val="20"/>
              </w:rPr>
              <w:t>4.640,00</w:t>
            </w:r>
          </w:p>
        </w:tc>
      </w:tr>
      <w:tr>
        <w:tc>
          <w:tcPr>
            <w:tcW w:type="dxa" w:w="4536"/>
          </w:tcPr>
          <w:p>
            <w:r>
              <w:rPr>
                <w:rFonts w:ascii="Times New Roman" w:hAnsi="Times New Roman"/>
                <w:sz w:val="20"/>
              </w:rPr>
              <w:t>Sonstige Auslagen (Boten, Beglaubigungen)</w:t>
            </w:r>
          </w:p>
        </w:tc>
        <w:tc>
          <w:tcPr>
            <w:tcW w:type="dxa" w:w="4536"/>
          </w:tcPr>
          <w:p>
            <w:r>
              <w:rPr>
                <w:rFonts w:ascii="Times New Roman" w:hAnsi="Times New Roman"/>
                <w:sz w:val="20"/>
              </w:rPr>
              <w:t>1.247,00</w:t>
            </w:r>
          </w:p>
        </w:tc>
      </w:tr>
      <w:tr>
        <w:tc>
          <w:tcPr>
            <w:tcW w:type="dxa" w:w="4536"/>
          </w:tcPr>
          <w:p>
            <w:r>
              <w:rPr>
                <w:rFonts w:ascii="Times New Roman" w:hAnsi="Times New Roman"/>
                <w:b/>
                <w:sz w:val="20"/>
              </w:rPr>
              <w:t>Summe Verfahrenskosten</w:t>
            </w:r>
          </w:p>
        </w:tc>
        <w:tc>
          <w:tcPr>
            <w:tcW w:type="dxa" w:w="4536"/>
          </w:tcPr>
          <w:p>
            <w:r>
              <w:rPr>
                <w:rFonts w:ascii="Times New Roman" w:hAnsi="Times New Roman"/>
                <w:b/>
                <w:sz w:val="20"/>
              </w:rPr>
              <w:t>5.887,00</w:t>
            </w:r>
          </w:p>
        </w:tc>
      </w:tr>
    </w:tbl>
    <w:p>
      <w:pPr>
        <w:pStyle w:val="Heading3"/>
      </w:pPr>
      <w:r>
        <w:rPr>
          <w:rFonts w:ascii="Times New Roman" w:hAnsi="Times New Roman"/>
        </w:rPr>
        <w:t>4. Verwalter-Vergütung gemäß § 17 ZwVwV — Gesamtperiode</w:t>
      </w:r>
    </w:p>
    <w:p>
      <w:pPr>
        <w:jc w:val="left"/>
      </w:pPr>
      <w:r>
        <w:t>Gerichtlich festgesetzt am 04.02.2025, 18.04.2025 und 25.07.2025:</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w:t>
            </w:r>
          </w:p>
        </w:tc>
      </w:tr>
      <w:tr>
        <w:tc>
          <w:tcPr>
            <w:tcW w:type="dxa" w:w="4536"/>
          </w:tcPr>
          <w:p>
            <w:r>
              <w:rPr>
                <w:rFonts w:ascii="Times New Roman" w:hAnsi="Times New Roman"/>
                <w:sz w:val="20"/>
              </w:rPr>
              <w:t>Vergütung Q3+Q4 2024 (festgesetzt 04.02.2025)</w:t>
            </w:r>
          </w:p>
        </w:tc>
        <w:tc>
          <w:tcPr>
            <w:tcW w:type="dxa" w:w="4536"/>
          </w:tcPr>
          <w:p>
            <w:r>
              <w:rPr>
                <w:rFonts w:ascii="Times New Roman" w:hAnsi="Times New Roman"/>
                <w:sz w:val="20"/>
              </w:rPr>
              <w:t>187.839,74</w:t>
            </w:r>
          </w:p>
        </w:tc>
      </w:tr>
      <w:tr>
        <w:tc>
          <w:tcPr>
            <w:tcW w:type="dxa" w:w="4536"/>
          </w:tcPr>
          <w:p>
            <w:r>
              <w:rPr>
                <w:rFonts w:ascii="Times New Roman" w:hAnsi="Times New Roman"/>
                <w:sz w:val="20"/>
              </w:rPr>
              <w:t>Vergütung Q1 2025 (festgesetzt 18.04.2025)</w:t>
            </w:r>
          </w:p>
        </w:tc>
        <w:tc>
          <w:tcPr>
            <w:tcW w:type="dxa" w:w="4536"/>
          </w:tcPr>
          <w:p>
            <w:r>
              <w:rPr>
                <w:rFonts w:ascii="Times New Roman" w:hAnsi="Times New Roman"/>
                <w:sz w:val="20"/>
              </w:rPr>
              <w:t>108.420,80</w:t>
            </w:r>
          </w:p>
        </w:tc>
      </w:tr>
      <w:tr>
        <w:tc>
          <w:tcPr>
            <w:tcW w:type="dxa" w:w="4536"/>
          </w:tcPr>
          <w:p>
            <w:r>
              <w:rPr>
                <w:rFonts w:ascii="Times New Roman" w:hAnsi="Times New Roman"/>
                <w:sz w:val="20"/>
              </w:rPr>
              <w:t>Vergütung Q2 + Restperiode 2025 (festgesetzt 25.07.2025)</w:t>
            </w:r>
          </w:p>
        </w:tc>
        <w:tc>
          <w:tcPr>
            <w:tcW w:type="dxa" w:w="4536"/>
          </w:tcPr>
          <w:p>
            <w:r>
              <w:rPr>
                <w:rFonts w:ascii="Times New Roman" w:hAnsi="Times New Roman"/>
                <w:sz w:val="20"/>
              </w:rPr>
              <w:t>142.640,30</w:t>
            </w:r>
          </w:p>
        </w:tc>
      </w:tr>
      <w:tr>
        <w:tc>
          <w:tcPr>
            <w:tcW w:type="dxa" w:w="4536"/>
          </w:tcPr>
          <w:p>
            <w:r>
              <w:rPr>
                <w:rFonts w:ascii="Times New Roman" w:hAnsi="Times New Roman"/>
                <w:b/>
                <w:sz w:val="20"/>
              </w:rPr>
              <w:t>Summe Verwalter-Vergütung</w:t>
            </w:r>
          </w:p>
        </w:tc>
        <w:tc>
          <w:tcPr>
            <w:tcW w:type="dxa" w:w="4536"/>
          </w:tcPr>
          <w:p>
            <w:r>
              <w:rPr>
                <w:rFonts w:ascii="Times New Roman" w:hAnsi="Times New Roman"/>
                <w:b/>
                <w:sz w:val="20"/>
              </w:rPr>
              <w:t>438.900,84</w:t>
            </w:r>
          </w:p>
        </w:tc>
      </w:tr>
    </w:tbl>
    <w:p>
      <w:pPr>
        <w:pStyle w:val="Heading3"/>
      </w:pPr>
      <w:r>
        <w:rPr>
          <w:rFonts w:ascii="Times New Roman" w:hAnsi="Times New Roman"/>
        </w:rPr>
        <w:t>5. Verteilungen (gesamt)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Verteilung</w:t>
            </w:r>
          </w:p>
        </w:tc>
        <w:tc>
          <w:tcPr>
            <w:tcW w:type="dxa" w:w="2268"/>
          </w:tcPr>
          <w:p>
            <w:r>
              <w:rPr>
                <w:rFonts w:ascii="Times New Roman" w:hAnsi="Times New Roman"/>
                <w:b/>
                <w:sz w:val="20"/>
              </w:rPr>
              <w:t>Datum Wirksamkeit</w:t>
            </w:r>
          </w:p>
        </w:tc>
        <w:tc>
          <w:tcPr>
            <w:tcW w:type="dxa" w:w="2268"/>
          </w:tcPr>
          <w:p>
            <w:r>
              <w:rPr>
                <w:rFonts w:ascii="Times New Roman" w:hAnsi="Times New Roman"/>
                <w:b/>
                <w:sz w:val="20"/>
              </w:rPr>
              <w:t>Empfänger</w:t>
            </w:r>
          </w:p>
        </w:tc>
        <w:tc>
          <w:tcPr>
            <w:tcW w:type="dxa" w:w="2268"/>
          </w:tcPr>
          <w:p>
            <w:r>
              <w:rPr>
                <w:rFonts w:ascii="Times New Roman" w:hAnsi="Times New Roman"/>
                <w:b/>
                <w:sz w:val="20"/>
              </w:rPr>
              <w:t>EUR</w:t>
            </w:r>
          </w:p>
        </w:tc>
      </w:tr>
      <w:tr>
        <w:tc>
          <w:tcPr>
            <w:tcW w:type="dxa" w:w="2268"/>
          </w:tcPr>
          <w:p>
            <w:r>
              <w:rPr>
                <w:rFonts w:ascii="Times New Roman" w:hAnsi="Times New Roman"/>
                <w:sz w:val="20"/>
              </w:rPr>
              <w:t>1. § 155 (Q4 2024) — Rang 3 Grundsteuer</w:t>
            </w:r>
          </w:p>
        </w:tc>
        <w:tc>
          <w:tcPr>
            <w:tcW w:type="dxa" w:w="2268"/>
          </w:tcPr>
          <w:p>
            <w:r>
              <w:rPr>
                <w:rFonts w:ascii="Times New Roman" w:hAnsi="Times New Roman"/>
                <w:sz w:val="20"/>
              </w:rPr>
              <w:t>17.02.2025</w:t>
            </w:r>
          </w:p>
        </w:tc>
        <w:tc>
          <w:tcPr>
            <w:tcW w:type="dxa" w:w="2268"/>
          </w:tcPr>
          <w:p>
            <w:r>
              <w:rPr>
                <w:rFonts w:ascii="Times New Roman" w:hAnsi="Times New Roman"/>
                <w:sz w:val="20"/>
              </w:rPr>
              <w:t>Finanzamt Berlin Mitte</w:t>
            </w:r>
          </w:p>
        </w:tc>
        <w:tc>
          <w:tcPr>
            <w:tcW w:type="dxa" w:w="2268"/>
          </w:tcPr>
          <w:p>
            <w:r>
              <w:rPr>
                <w:rFonts w:ascii="Times New Roman" w:hAnsi="Times New Roman"/>
                <w:sz w:val="20"/>
              </w:rPr>
              <w:t>4.327,00</w:t>
            </w:r>
          </w:p>
        </w:tc>
      </w:tr>
      <w:tr>
        <w:tc>
          <w:tcPr>
            <w:tcW w:type="dxa" w:w="2268"/>
          </w:tcPr>
          <w:p>
            <w:r>
              <w:rPr>
                <w:rFonts w:ascii="Times New Roman" w:hAnsi="Times New Roman"/>
                <w:sz w:val="20"/>
              </w:rPr>
              <w:t>1. § 155 — Rang 4 Teilausschüttung</w:t>
            </w:r>
          </w:p>
        </w:tc>
        <w:tc>
          <w:tcPr>
            <w:tcW w:type="dxa" w:w="2268"/>
          </w:tcPr>
          <w:p>
            <w:r>
              <w:rPr>
                <w:rFonts w:ascii="Times New Roman" w:hAnsi="Times New Roman"/>
                <w:sz w:val="20"/>
              </w:rPr>
              <w:t>17.02.2025</w:t>
            </w:r>
          </w:p>
        </w:tc>
        <w:tc>
          <w:tcPr>
            <w:tcW w:type="dxa" w:w="2268"/>
          </w:tcPr>
          <w:p>
            <w:r>
              <w:rPr>
                <w:rFonts w:ascii="Times New Roman" w:hAnsi="Times New Roman"/>
                <w:sz w:val="20"/>
              </w:rPr>
              <w:t>Alpenländ. Hyp.bank AG</w:t>
            </w:r>
          </w:p>
        </w:tc>
        <w:tc>
          <w:tcPr>
            <w:tcW w:type="dxa" w:w="2268"/>
          </w:tcPr>
          <w:p>
            <w:r>
              <w:rPr>
                <w:rFonts w:ascii="Times New Roman" w:hAnsi="Times New Roman"/>
                <w:sz w:val="20"/>
              </w:rPr>
              <w:t>280.000,00</w:t>
            </w:r>
          </w:p>
        </w:tc>
      </w:tr>
      <w:tr>
        <w:tc>
          <w:tcPr>
            <w:tcW w:type="dxa" w:w="2268"/>
          </w:tcPr>
          <w:p>
            <w:r>
              <w:rPr>
                <w:rFonts w:ascii="Times New Roman" w:hAnsi="Times New Roman"/>
                <w:sz w:val="20"/>
              </w:rPr>
              <w:t>2. § 155 (Q1 2025) — Rang 4 Teilausschüttung</w:t>
            </w:r>
          </w:p>
        </w:tc>
        <w:tc>
          <w:tcPr>
            <w:tcW w:type="dxa" w:w="2268"/>
          </w:tcPr>
          <w:p>
            <w:r>
              <w:rPr>
                <w:rFonts w:ascii="Times New Roman" w:hAnsi="Times New Roman"/>
                <w:sz w:val="20"/>
              </w:rPr>
              <w:t>12.05.2025</w:t>
            </w:r>
          </w:p>
        </w:tc>
        <w:tc>
          <w:tcPr>
            <w:tcW w:type="dxa" w:w="2268"/>
          </w:tcPr>
          <w:p>
            <w:r>
              <w:rPr>
                <w:rFonts w:ascii="Times New Roman" w:hAnsi="Times New Roman"/>
                <w:sz w:val="20"/>
              </w:rPr>
              <w:t>Alpenländ. Hyp.bank AG</w:t>
            </w:r>
          </w:p>
        </w:tc>
        <w:tc>
          <w:tcPr>
            <w:tcW w:type="dxa" w:w="2268"/>
          </w:tcPr>
          <w:p>
            <w:r>
              <w:rPr>
                <w:rFonts w:ascii="Times New Roman" w:hAnsi="Times New Roman"/>
                <w:sz w:val="20"/>
              </w:rPr>
              <w:t>720.000,00</w:t>
            </w:r>
          </w:p>
        </w:tc>
      </w:tr>
      <w:tr>
        <w:tc>
          <w:tcPr>
            <w:tcW w:type="dxa" w:w="2268"/>
          </w:tcPr>
          <w:p>
            <w:r>
              <w:rPr>
                <w:rFonts w:ascii="Times New Roman" w:hAnsi="Times New Roman"/>
                <w:sz w:val="20"/>
              </w:rPr>
              <w:t>3. § 155 (Q2 + Schluss 2025) — Rang 4</w:t>
            </w:r>
          </w:p>
        </w:tc>
        <w:tc>
          <w:tcPr>
            <w:tcW w:type="dxa" w:w="2268"/>
          </w:tcPr>
          <w:p>
            <w:r>
              <w:rPr>
                <w:rFonts w:ascii="Times New Roman" w:hAnsi="Times New Roman"/>
                <w:sz w:val="20"/>
              </w:rPr>
              <w:t>18.08.2025</w:t>
            </w:r>
          </w:p>
        </w:tc>
        <w:tc>
          <w:tcPr>
            <w:tcW w:type="dxa" w:w="2268"/>
          </w:tcPr>
          <w:p>
            <w:r>
              <w:rPr>
                <w:rFonts w:ascii="Times New Roman" w:hAnsi="Times New Roman"/>
                <w:sz w:val="20"/>
              </w:rPr>
              <w:t>Alpenländ. Hyp.bank AG</w:t>
            </w:r>
          </w:p>
        </w:tc>
        <w:tc>
          <w:tcPr>
            <w:tcW w:type="dxa" w:w="2268"/>
          </w:tcPr>
          <w:p>
            <w:r>
              <w:rPr>
                <w:rFonts w:ascii="Times New Roman" w:hAnsi="Times New Roman"/>
                <w:sz w:val="20"/>
              </w:rPr>
              <w:t>1.842.420,52</w:t>
            </w:r>
          </w:p>
        </w:tc>
      </w:tr>
      <w:tr>
        <w:tc>
          <w:tcPr>
            <w:tcW w:type="dxa" w:w="2268"/>
          </w:tcPr>
          <w:p>
            <w:r>
              <w:rPr>
                <w:rFonts w:ascii="Times New Roman" w:hAnsi="Times New Roman"/>
                <w:sz w:val="20"/>
              </w:rPr>
              <w:t>Schluss-Verteilung (Endbestand nach Abrechnung Ersteherin)</w:t>
            </w:r>
          </w:p>
        </w:tc>
        <w:tc>
          <w:tcPr>
            <w:tcW w:type="dxa" w:w="2268"/>
          </w:tcPr>
          <w:p>
            <w:r>
              <w:rPr>
                <w:rFonts w:ascii="Times New Roman" w:hAnsi="Times New Roman"/>
                <w:sz w:val="20"/>
              </w:rPr>
              <w:t>13.03.2026</w:t>
            </w:r>
          </w:p>
        </w:tc>
        <w:tc>
          <w:tcPr>
            <w:tcW w:type="dxa" w:w="2268"/>
          </w:tcPr>
          <w:p>
            <w:r>
              <w:rPr>
                <w:rFonts w:ascii="Times New Roman" w:hAnsi="Times New Roman"/>
                <w:sz w:val="20"/>
              </w:rPr>
              <w:t>Alpenländ. Hyp.bank AG</w:t>
            </w:r>
          </w:p>
        </w:tc>
        <w:tc>
          <w:tcPr>
            <w:tcW w:type="dxa" w:w="2268"/>
          </w:tcPr>
          <w:p>
            <w:r>
              <w:rPr>
                <w:rFonts w:ascii="Times New Roman" w:hAnsi="Times New Roman"/>
                <w:sz w:val="20"/>
              </w:rPr>
              <w:t>1.460.300,00</w:t>
            </w:r>
          </w:p>
        </w:tc>
      </w:tr>
      <w:tr>
        <w:tc>
          <w:tcPr>
            <w:tcW w:type="dxa" w:w="2268"/>
          </w:tcPr>
          <w:p>
            <w:r>
              <w:rPr>
                <w:rFonts w:ascii="Times New Roman" w:hAnsi="Times New Roman"/>
                <w:b/>
                <w:sz w:val="20"/>
              </w:rPr>
              <w:t>Summe Verteilungen an Gläubigerin</w:t>
            </w:r>
          </w:p>
        </w:tc>
        <w:tc>
          <w:tcPr>
            <w:tcW w:type="dxa" w:w="2268"/>
          </w:tcPr>
          <w:p/>
        </w:tc>
        <w:tc>
          <w:tcPr>
            <w:tcW w:type="dxa" w:w="2268"/>
          </w:tcPr>
          <w:p/>
        </w:tc>
        <w:tc>
          <w:tcPr>
            <w:tcW w:type="dxa" w:w="2268"/>
          </w:tcPr>
          <w:p>
            <w:r>
              <w:rPr>
                <w:rFonts w:ascii="Times New Roman" w:hAnsi="Times New Roman"/>
                <w:b/>
                <w:sz w:val="20"/>
              </w:rPr>
              <w:t>4.302.720,52</w:t>
            </w:r>
          </w:p>
        </w:tc>
      </w:tr>
      <w:tr>
        <w:tc>
          <w:tcPr>
            <w:tcW w:type="dxa" w:w="2268"/>
          </w:tcPr>
          <w:p>
            <w:r>
              <w:rPr>
                <w:rFonts w:ascii="Times New Roman" w:hAnsi="Times New Roman"/>
                <w:sz w:val="20"/>
              </w:rPr>
              <w:t>Summe Verteilungen Rang 3</w:t>
            </w:r>
          </w:p>
        </w:tc>
        <w:tc>
          <w:tcPr>
            <w:tcW w:type="dxa" w:w="2268"/>
          </w:tcPr>
          <w:p/>
        </w:tc>
        <w:tc>
          <w:tcPr>
            <w:tcW w:type="dxa" w:w="2268"/>
          </w:tcPr>
          <w:p/>
        </w:tc>
        <w:tc>
          <w:tcPr>
            <w:tcW w:type="dxa" w:w="2268"/>
          </w:tcPr>
          <w:p>
            <w:r>
              <w:rPr>
                <w:rFonts w:ascii="Times New Roman" w:hAnsi="Times New Roman"/>
                <w:sz w:val="20"/>
              </w:rPr>
              <w:t>4.327,00</w:t>
            </w:r>
          </w:p>
        </w:tc>
      </w:tr>
      <w:tr>
        <w:tc>
          <w:tcPr>
            <w:tcW w:type="dxa" w:w="2268"/>
          </w:tcPr>
          <w:p>
            <w:r>
              <w:rPr>
                <w:rFonts w:ascii="Times New Roman" w:hAnsi="Times New Roman"/>
                <w:b/>
                <w:sz w:val="20"/>
              </w:rPr>
              <w:t>Summe aller Verteilungen</w:t>
            </w:r>
          </w:p>
        </w:tc>
        <w:tc>
          <w:tcPr>
            <w:tcW w:type="dxa" w:w="2268"/>
          </w:tcPr>
          <w:p/>
        </w:tc>
        <w:tc>
          <w:tcPr>
            <w:tcW w:type="dxa" w:w="2268"/>
          </w:tcPr>
          <w:p/>
        </w:tc>
        <w:tc>
          <w:tcPr>
            <w:tcW w:type="dxa" w:w="2268"/>
          </w:tcPr>
          <w:p>
            <w:r>
              <w:rPr>
                <w:rFonts w:ascii="Times New Roman" w:hAnsi="Times New Roman"/>
                <w:b/>
                <w:sz w:val="20"/>
              </w:rPr>
              <w:t>4.307.047,52</w:t>
            </w:r>
          </w:p>
        </w:tc>
      </w:tr>
    </w:tbl>
    <w:p>
      <w:pPr>
        <w:pStyle w:val="Heading3"/>
      </w:pPr>
      <w:r>
        <w:rPr>
          <w:rFonts w:ascii="Times New Roman" w:hAnsi="Times New Roman"/>
        </w:rPr>
        <w:t>6. Schlussabrechnung</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w:t>
            </w:r>
          </w:p>
        </w:tc>
      </w:tr>
      <w:tr>
        <w:tc>
          <w:tcPr>
            <w:tcW w:type="dxa" w:w="4536"/>
          </w:tcPr>
          <w:p>
            <w:r>
              <w:rPr>
                <w:rFonts w:ascii="Times New Roman" w:hAnsi="Times New Roman"/>
                <w:sz w:val="20"/>
              </w:rPr>
              <w:t>Summe Einnahmen</w:t>
            </w:r>
          </w:p>
        </w:tc>
        <w:tc>
          <w:tcPr>
            <w:tcW w:type="dxa" w:w="4536"/>
          </w:tcPr>
          <w:p>
            <w:r>
              <w:rPr>
                <w:rFonts w:ascii="Times New Roman" w:hAnsi="Times New Roman"/>
                <w:sz w:val="20"/>
              </w:rPr>
              <w:t>5.767.869,00</w:t>
            </w:r>
          </w:p>
        </w:tc>
      </w:tr>
      <w:tr>
        <w:tc>
          <w:tcPr>
            <w:tcW w:type="dxa" w:w="4536"/>
          </w:tcPr>
          <w:p>
            <w:r>
              <w:rPr>
                <w:rFonts w:ascii="Times New Roman" w:hAnsi="Times New Roman"/>
                <w:sz w:val="20"/>
              </w:rPr>
              <w:t>./. Bewirtschaftungs-Ausgaben</w:t>
            </w:r>
          </w:p>
        </w:tc>
        <w:tc>
          <w:tcPr>
            <w:tcW w:type="dxa" w:w="4536"/>
          </w:tcPr>
          <w:p>
            <w:r>
              <w:rPr>
                <w:rFonts w:ascii="Times New Roman" w:hAnsi="Times New Roman"/>
                <w:sz w:val="20"/>
              </w:rPr>
              <w:t>-620.359,80</w:t>
            </w:r>
          </w:p>
        </w:tc>
      </w:tr>
      <w:tr>
        <w:tc>
          <w:tcPr>
            <w:tcW w:type="dxa" w:w="4536"/>
          </w:tcPr>
          <w:p>
            <w:r>
              <w:rPr>
                <w:rFonts w:ascii="Times New Roman" w:hAnsi="Times New Roman"/>
                <w:sz w:val="20"/>
              </w:rPr>
              <w:t>./. Verfahrenskosten</w:t>
            </w:r>
          </w:p>
        </w:tc>
        <w:tc>
          <w:tcPr>
            <w:tcW w:type="dxa" w:w="4536"/>
          </w:tcPr>
          <w:p>
            <w:r>
              <w:rPr>
                <w:rFonts w:ascii="Times New Roman" w:hAnsi="Times New Roman"/>
                <w:sz w:val="20"/>
              </w:rPr>
              <w:t>-5.887,00</w:t>
            </w:r>
          </w:p>
        </w:tc>
      </w:tr>
      <w:tr>
        <w:tc>
          <w:tcPr>
            <w:tcW w:type="dxa" w:w="4536"/>
          </w:tcPr>
          <w:p>
            <w:r>
              <w:rPr>
                <w:rFonts w:ascii="Times New Roman" w:hAnsi="Times New Roman"/>
                <w:sz w:val="20"/>
              </w:rPr>
              <w:t>./. Verwalter-Vergütung</w:t>
            </w:r>
          </w:p>
        </w:tc>
        <w:tc>
          <w:tcPr>
            <w:tcW w:type="dxa" w:w="4536"/>
          </w:tcPr>
          <w:p>
            <w:r>
              <w:rPr>
                <w:rFonts w:ascii="Times New Roman" w:hAnsi="Times New Roman"/>
                <w:sz w:val="20"/>
              </w:rPr>
              <w:t>-438.900,84</w:t>
            </w:r>
          </w:p>
        </w:tc>
      </w:tr>
      <w:tr>
        <w:tc>
          <w:tcPr>
            <w:tcW w:type="dxa" w:w="4536"/>
          </w:tcPr>
          <w:p>
            <w:r>
              <w:rPr>
                <w:rFonts w:ascii="Times New Roman" w:hAnsi="Times New Roman"/>
                <w:sz w:val="20"/>
              </w:rPr>
              <w:t>./. Verteilungen</w:t>
            </w:r>
          </w:p>
        </w:tc>
        <w:tc>
          <w:tcPr>
            <w:tcW w:type="dxa" w:w="4536"/>
          </w:tcPr>
          <w:p>
            <w:r>
              <w:rPr>
                <w:rFonts w:ascii="Times New Roman" w:hAnsi="Times New Roman"/>
                <w:sz w:val="20"/>
              </w:rPr>
              <w:t>-4.307.047,52</w:t>
            </w:r>
          </w:p>
        </w:tc>
      </w:tr>
      <w:tr>
        <w:tc>
          <w:tcPr>
            <w:tcW w:type="dxa" w:w="4536"/>
          </w:tcPr>
          <w:p>
            <w:r>
              <w:rPr>
                <w:rFonts w:ascii="Times New Roman" w:hAnsi="Times New Roman"/>
                <w:b/>
                <w:sz w:val="20"/>
              </w:rPr>
              <w:t>Restbestand Anderkonto Stand 13.03.2026</w:t>
            </w:r>
          </w:p>
        </w:tc>
        <w:tc>
          <w:tcPr>
            <w:tcW w:type="dxa" w:w="4536"/>
          </w:tcPr>
          <w:p>
            <w:r>
              <w:rPr>
                <w:rFonts w:ascii="Times New Roman" w:hAnsi="Times New Roman"/>
                <w:b/>
                <w:sz w:val="20"/>
              </w:rPr>
              <w:t>0,00</w:t>
            </w:r>
          </w:p>
        </w:tc>
      </w:tr>
    </w:tbl>
    <w:p>
      <w:pPr>
        <w:jc w:val="left"/>
      </w:pPr>
      <w:r>
        <w:t>Das Anderkonto ist mit Wirksamkeit der Schluss-Verteilung am 13.03.2026 saldenlos. Die Auflösung des Anderkontos bei der Berliner Volksbank eG ist beantragt.</w:t>
      </w:r>
    </w:p>
    <w:p>
      <w:pPr>
        <w:pStyle w:val="Heading3"/>
      </w:pPr>
      <w:r>
        <w:rPr>
          <w:rFonts w:ascii="Times New Roman" w:hAnsi="Times New Roman"/>
        </w:rPr>
        <w:t>7. Verwendung der Mittel — Verteilungsschlüssel</w:t>
      </w:r>
    </w:p>
    <w:p>
      <w:pPr>
        <w:jc w:val="left"/>
      </w:pPr>
      <w:r>
        <w:t>Die Verteilung an die Gläubigerin Alpenländ. Hypotheken- und Handelsbank AG erfolgte aufgrund deren erstrangiger Buchgrundschuld UR-Nr. 847/2017 in Höhe von EUR 34.000.000 mit Sicherungszweck für sämtliche Forderungen aus dem Darlehensvertrag vom 22.06.2017. Die zum Verfahrensende geltend gemachte Gesamtforderung der Gläubigerin betrug EUR 36.565.349,76. Sie wurde aus dem Versteigerungserlös (EUR 24.500.000) und aus den Verteilungen der Zwangsverwaltung (EUR 4.302.720,52) — Gesamtbefriedigung EUR 28.802.720,52 — teilbefriedigt.</w:t>
      </w:r>
    </w:p>
    <w:p>
      <w:pPr>
        <w:jc w:val="left"/>
      </w:pPr>
      <w:r>
        <w:t>Verbleibender Ausfall der Gläubigerin: ca. EUR 7.762.629,24. Dieser Ausfall wird im Insolvenzverfahren der Schuldnerin (AG Charlottenburg 36w IN 4721/24) als Forderung mit Insolvenzgläubiger-Rang angemeldet.</w:t>
      </w:r>
    </w:p>
    <w:p>
      <w:pPr>
        <w:pStyle w:val="Heading3"/>
      </w:pPr>
      <w:r>
        <w:rPr>
          <w:rFonts w:ascii="Times New Roman" w:hAnsi="Times New Roman"/>
        </w:rPr>
        <w:t>8. Übergabe an die Ersteherin (kurze Übersicht)</w:t>
      </w:r>
    </w:p>
    <w:p>
      <w:pPr>
        <w:jc w:val="left"/>
      </w:pPr>
      <w:r>
        <w:t>Die Übergabe des Objekts an die Berliner Immobilien-Asset-Pool II GmbH &amp; Co. KG erfolgte am 25.07.2025. Übergeben wurden:</w:t>
      </w:r>
    </w:p>
    <w:p>
      <w:pPr>
        <w:pStyle w:val="ListBullet"/>
      </w:pPr>
      <w:r>
        <w:t>Schlüsselsätze, Zugangsmedien, Schließanlage-Codes</w:t>
      </w:r>
    </w:p>
    <w:p>
      <w:pPr>
        <w:pStyle w:val="ListBullet"/>
      </w:pPr>
      <w:r>
        <w:t>Sämtliche Mietverträge und Mieterordner (47 Mieter)</w:t>
      </w:r>
    </w:p>
    <w:p>
      <w:pPr>
        <w:pStyle w:val="ListBullet"/>
      </w:pPr>
      <w:r>
        <w:t>Versicherungsunterlagen mit Übergangs-Vermerk</w:t>
      </w:r>
    </w:p>
    <w:p>
      <w:pPr>
        <w:pStyle w:val="ListBullet"/>
      </w:pPr>
      <w:r>
        <w:t>Wartungs- und Versorgungs-Verträge</w:t>
      </w:r>
    </w:p>
    <w:p>
      <w:pPr>
        <w:pStyle w:val="ListBullet"/>
      </w:pPr>
      <w:r>
        <w:t>Buchhaltung Zeitraum 22.08.2024–25.07.2025 (USB-Stick, verschlüsselt)</w:t>
      </w:r>
    </w:p>
    <w:p>
      <w:pPr>
        <w:pStyle w:val="ListBullet"/>
      </w:pPr>
      <w:r>
        <w:t>Übergabe-Protokoll vom 25.07.2025</w:t>
      </w:r>
    </w:p>
    <w:p>
      <w:pPr>
        <w:jc w:val="left"/>
      </w:pPr>
      <w:r>
        <w:t>Sämtliche Mieter wurden mit Schreiben vom 28.07.2025 über den Eigentums- und Verwaltungs-Übergang sowie das neue Mietzahlungs-Konto informiert.</w:t>
      </w:r>
    </w:p>
    <w:p>
      <w:pPr>
        <w:pStyle w:val="Heading3"/>
      </w:pPr>
      <w:r>
        <w:rPr>
          <w:rFonts w:ascii="Times New Roman" w:hAnsi="Times New Roman"/>
        </w:rPr>
        <w:t>9. Aufrechnungen / Abrechnungs-Streit mit Ersteherin</w:t>
      </w:r>
    </w:p>
    <w:p>
      <w:pPr>
        <w:jc w:val="left"/>
      </w:pPr>
      <w:r>
        <w:t>Mit der Ersteherin bestand zunächst Streit über folgende Positionen:</w:t>
      </w:r>
    </w:p>
    <w:p>
      <w:pPr>
        <w:pStyle w:val="ListBullet"/>
      </w:pPr>
      <w:r>
        <w:t>Heizkostenabrechnung 2024 (Endabrechnung 28.02.2025) → einvernehmliche Aufteilung 80 % Verwalterin / 20 % Ersteherin (anteilig nach Belegungsdauer 2025); vereinbart am 12.09.2025</w:t>
      </w:r>
    </w:p>
    <w:p>
      <w:pPr>
        <w:pStyle w:val="ListBullet"/>
      </w:pPr>
      <w:r>
        <w:t>Anteilige Versicherungsprämie 2025 (jährlich vorausgezahlt) → Ersteherin erstattet EUR 28.420,00 (entspricht 5/12 der Jahresprämie); ausgeführt am 12.09.2025</w:t>
      </w:r>
    </w:p>
    <w:p>
      <w:pPr>
        <w:pStyle w:val="ListBullet"/>
      </w:pPr>
      <w:r>
        <w:t>Anteilige Grundsteuer 2025 → Ersteherin erstattet EUR 4.870,00; ausgeführt am 12.09.2025</w:t>
      </w:r>
    </w:p>
    <w:p>
      <w:pPr>
        <w:pStyle w:val="ListBullet"/>
      </w:pPr>
      <w:r>
        <w:t>Sicherheits-Kautionen Mieter (Bestand 15 Kautionen iHv EUR 64.480) → an Ersteherin übergeben am 25.07.2025</w:t>
      </w:r>
    </w:p>
    <w:p>
      <w:pPr>
        <w:jc w:val="left"/>
      </w:pPr>
      <w:r>
        <w:t>Endgültiger Saldo nach Abrechnung: ausgeglichen (siehe Buchungsstand 13.03.2026).</w:t>
      </w:r>
    </w:p>
    <w:p>
      <w:pPr>
        <w:pStyle w:val="Heading3"/>
      </w:pPr>
      <w:r>
        <w:rPr>
          <w:rFonts w:ascii="Times New Roman" w:hAnsi="Times New Roman"/>
        </w:rPr>
        <w:t>10. Aurelius-Vollstreckung</w:t>
      </w:r>
    </w:p>
    <w:p>
      <w:pPr>
        <w:jc w:val="left"/>
      </w:pPr>
      <w:r>
        <w:t>Die Forderung aus dem Urteil AG Mitte 14 C 142/25 wurde mit Pfändungs- und Überweisungs-Beschluss vom 28.05.2025 betrieben. Eine Teilbeitreibung iHv EUR 12.485,00 (Kontoguthaben Beklagter) erfolgte am 04.07.2025. Der Restbetrag wurde aufgrund Vermögenslosigkeit des Beklagten ausgebucht und im Schlussbericht als uneinbringlich behandelt.</w:t>
      </w:r>
    </w:p>
    <w:p>
      <w:pPr>
        <w:pStyle w:val="Heading3"/>
      </w:pPr>
      <w:r>
        <w:rPr>
          <w:rFonts w:ascii="Times New Roman" w:hAnsi="Times New Roman"/>
        </w:rPr>
        <w:t>11. Abschlussbericht für das Insolvenzgericht (Charlottenburg)</w:t>
      </w:r>
    </w:p>
    <w:p>
      <w:pPr>
        <w:jc w:val="left"/>
      </w:pPr>
      <w:r>
        <w:t>Eine Kopie dieses Schlussberichts und der Schlussrechnung wird parallel an den Insolvenzverwalter Dr. Florian Westphal mit der Bitte um Kenntnisnahme übersandt.</w:t>
      </w:r>
    </w:p>
    <w:p>
      <w:pPr>
        <w:pStyle w:val="Heading3"/>
      </w:pPr>
      <w:r>
        <w:rPr>
          <w:rFonts w:ascii="Times New Roman" w:hAnsi="Times New Roman"/>
        </w:rPr>
        <w:t>12. Antrag</w:t>
      </w:r>
    </w:p>
    <w:p>
      <w:pPr>
        <w:jc w:val="left"/>
      </w:pPr>
      <w:r>
        <w:t>Es wird beantragt:</w:t>
      </w:r>
    </w:p>
    <w:p>
      <w:pPr>
        <w:pStyle w:val="ListNumber"/>
      </w:pPr>
      <w:r>
        <w:t>die Schlussrechnung wie vorgelegt zu genehmigen,</w:t>
      </w:r>
    </w:p>
    <w:p>
      <w:pPr>
        <w:pStyle w:val="ListNumber"/>
      </w:pPr>
      <w:r>
        <w:t>die Vergütung des Verwalters wie unter Ziffer 4 dargestellt endgültig festzusetzen,</w:t>
      </w:r>
    </w:p>
    <w:p>
      <w:pPr>
        <w:pStyle w:val="ListNumber"/>
      </w:pPr>
      <w:r>
        <w:t>das Zwangsverwaltungsverfahren formell zu beenden und die Verwalterin aus ihrem Amt zu entlassen.</w:t>
      </w:r>
    </w:p>
    <w:p/>
    <w:p>
      <w:pPr>
        <w:jc w:val="left"/>
      </w:pPr>
      <w:r>
        <w:t>Berlin, den 13. März 2026</w:t>
      </w:r>
    </w:p>
    <w:p>
      <w:pPr>
        <w:jc w:val="left"/>
      </w:pPr>
      <w:r>
        <w:t>_Yara Solveig Lindqvist-Bähr_</w:t>
      </w:r>
    </w:p>
    <w:p>
      <w:pPr>
        <w:jc w:val="left"/>
      </w:pPr>
      <w:r>
        <w:t>Rechtsanwältin</w:t>
      </w:r>
    </w:p>
    <w:p>
      <w:pPr>
        <w:jc w:val="left"/>
      </w:pPr>
      <w:r>
        <w:t>Zwangsverwalterin</w:t>
      </w:r>
    </w:p>
    <w:p/>
    <w:p>
      <w:pPr>
        <w:jc w:val="left"/>
      </w:pPr>
      <w:r>
        <w:rPr>
          <w:b/>
        </w:rPr>
        <w:t>Anlagen zur Schlussrechnung:</w:t>
      </w:r>
    </w:p>
    <w:p>
      <w:pPr>
        <w:pStyle w:val="ListBullet"/>
      </w:pPr>
      <w:r>
        <w:t>Sch-1: Übergabeprotokoll an Ersteherin 25.07.2025</w:t>
      </w:r>
    </w:p>
    <w:p>
      <w:pPr>
        <w:pStyle w:val="ListBullet"/>
      </w:pPr>
      <w:r>
        <w:t>Sch-2: Schluss-§ 155-Verteilungsrechnung Q2 2025</w:t>
      </w:r>
    </w:p>
    <w:p>
      <w:pPr>
        <w:pStyle w:val="ListBullet"/>
      </w:pPr>
      <w:r>
        <w:t>Sch-3: Aurelius-Vollstreckungs-Akte</w:t>
      </w:r>
    </w:p>
    <w:p>
      <w:pPr>
        <w:pStyle w:val="ListBullet"/>
      </w:pPr>
      <w:r>
        <w:t>Sch-4: Saldo-Bestätigung Berliner Volksbank eG zum 13.03.2026</w:t>
      </w:r>
    </w:p>
    <w:p>
      <w:pPr>
        <w:pStyle w:val="ListBullet"/>
      </w:pPr>
      <w:r>
        <w:t>Sch-5: Forderungsanmeldung Ausfall Gläubigerin (Kopie) im Insolvenzverfahren AG Charlottenburg</w:t>
      </w:r>
    </w:p>
    <w:p>
      <w:pPr>
        <w:pStyle w:val="ListBullet"/>
      </w:pPr>
      <w:r>
        <w:t>Sch-6: Mieter-Übergangs-Schreiben 28.07.2025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Lindqvist &amp; Partner Insolvenz- und Zwangsverwaltung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LINDQVIST &amp; PARTNER INSOLVENZ- UND ZWANGSVERWALTUNG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