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Objektaufnahme – Bestandserfassung Parkstraße 18, Leipzig</w:t>
      </w:r>
    </w:p>
    <w:p>
      <w:pPr>
        <w:ind w:left="567"/>
      </w:pPr>
      <w:r>
        <w:rPr>
          <w:b/>
          <w:i/>
        </w:rPr>
        <w:t>Aktenzeichen:</w:t>
      </w:r>
      <w:r>
        <w:rPr>
          <w:i/>
        </w:rPr>
        <w:t xml:space="preserve"> 76 L 88/26</w:t>
      </w:r>
    </w:p>
    <w:p>
      <w:pPr>
        <w:ind w:left="567"/>
      </w:pPr>
      <w:r>
        <w:rPr>
          <w:b/>
          <w:i/>
        </w:rPr>
        <w:t>Begehungsdatum:</w:t>
      </w:r>
      <w:r>
        <w:rPr>
          <w:i/>
        </w:rPr>
        <w:t xml:space="preserve"> 07. Mai 2026, 09:30 Uhr</w:t>
      </w:r>
    </w:p>
    <w:p>
      <w:pPr>
        <w:ind w:left="567"/>
      </w:pPr>
      <w:r>
        <w:rPr>
          <w:b/>
          <w:i/>
        </w:rPr>
        <w:t>Erstellerin:</w:t>
      </w:r>
      <w:r>
        <w:rPr>
          <w:i/>
        </w:rPr>
        <w:t xml:space="preserve"> Rechtsanwältin Julia Renner, Zwangsverwalterin</w:t>
      </w:r>
    </w:p>
    <w:p>
      <w:pPr>
        <w:ind w:left="567"/>
      </w:pPr>
      <w:r>
        <w:rPr>
          <w:b/>
          <w:i/>
        </w:rPr>
        <w:t>Anwesend:</w:t>
      </w:r>
      <w:r>
        <w:rPr>
          <w:i/>
        </w:rPr>
        <w:t xml:space="preserve"> RAin Renner, Hausmeisterin Karin Lehmann, Sachverständiger Dipl.-Ing. Gerhard Pappe (Bausubstanz, auf eigene Initiative hinzugezogen)</w:t>
      </w:r>
    </w:p>
    <w:p/>
    <w:p>
      <w:pPr>
        <w:pStyle w:val="Heading2"/>
      </w:pPr>
      <w:r>
        <w:rPr>
          <w:rFonts w:ascii="Times New Roman" w:hAnsi="Times New Roman"/>
        </w:rPr>
        <w:t>1. Grunddaten des Objekts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Anschrift</w:t>
            </w:r>
          </w:p>
        </w:tc>
        <w:tc>
          <w:tcPr>
            <w:tcW w:type="dxa" w:w="4536"/>
          </w:tcPr>
          <w:p>
            <w:r>
              <w:rPr>
                <w:rFonts w:ascii="Times New Roman" w:hAnsi="Times New Roman"/>
                <w:sz w:val="20"/>
              </w:rPr>
              <w:t>Parkstraße 18, 04107 Leipzig</w:t>
            </w:r>
          </w:p>
        </w:tc>
      </w:tr>
      <w:tr>
        <w:tc>
          <w:tcPr>
            <w:tcW w:type="dxa" w:w="4536"/>
          </w:tcPr>
          <w:p>
            <w:r>
              <w:rPr>
                <w:rFonts w:ascii="Times New Roman" w:hAnsi="Times New Roman"/>
                <w:sz w:val="20"/>
              </w:rPr>
              <w:t>Lage</w:t>
            </w:r>
          </w:p>
        </w:tc>
        <w:tc>
          <w:tcPr>
            <w:tcW w:type="dxa" w:w="4536"/>
          </w:tcPr>
          <w:p>
            <w:r>
              <w:rPr>
                <w:rFonts w:ascii="Times New Roman" w:hAnsi="Times New Roman"/>
                <w:sz w:val="20"/>
              </w:rPr>
              <w:t>Gründerzeitviertel südlich der Innenstadt, überwiegend Wohnnutzung</w:t>
            </w:r>
          </w:p>
        </w:tc>
      </w:tr>
      <w:tr>
        <w:tc>
          <w:tcPr>
            <w:tcW w:type="dxa" w:w="4536"/>
          </w:tcPr>
          <w:p>
            <w:r>
              <w:rPr>
                <w:rFonts w:ascii="Times New Roman" w:hAnsi="Times New Roman"/>
                <w:sz w:val="20"/>
              </w:rPr>
              <w:t>Grundbuch</w:t>
            </w:r>
          </w:p>
        </w:tc>
        <w:tc>
          <w:tcPr>
            <w:tcW w:type="dxa" w:w="4536"/>
          </w:tcPr>
          <w:p>
            <w:r>
              <w:rPr>
                <w:rFonts w:ascii="Times New Roman" w:hAnsi="Times New Roman"/>
                <w:sz w:val="20"/>
              </w:rPr>
              <w:t>AG Leipzig, Blatt 44581</w:t>
            </w:r>
          </w:p>
        </w:tc>
      </w:tr>
      <w:tr>
        <w:tc>
          <w:tcPr>
            <w:tcW w:type="dxa" w:w="4536"/>
          </w:tcPr>
          <w:p>
            <w:r>
              <w:rPr>
                <w:rFonts w:ascii="Times New Roman" w:hAnsi="Times New Roman"/>
                <w:sz w:val="20"/>
              </w:rPr>
              <w:t>Baujahr</w:t>
            </w:r>
          </w:p>
        </w:tc>
        <w:tc>
          <w:tcPr>
            <w:tcW w:type="dxa" w:w="4536"/>
          </w:tcPr>
          <w:p>
            <w:r>
              <w:rPr>
                <w:rFonts w:ascii="Times New Roman" w:hAnsi="Times New Roman"/>
                <w:sz w:val="20"/>
              </w:rPr>
              <w:t>1911 (Gründerzeit, Historismus)</w:t>
            </w:r>
          </w:p>
        </w:tc>
      </w:tr>
      <w:tr>
        <w:tc>
          <w:tcPr>
            <w:tcW w:type="dxa" w:w="4536"/>
          </w:tcPr>
          <w:p>
            <w:r>
              <w:rPr>
                <w:rFonts w:ascii="Times New Roman" w:hAnsi="Times New Roman"/>
                <w:sz w:val="20"/>
              </w:rPr>
              <w:t>Gebäudetyp</w:t>
            </w:r>
          </w:p>
        </w:tc>
        <w:tc>
          <w:tcPr>
            <w:tcW w:type="dxa" w:w="4536"/>
          </w:tcPr>
          <w:p>
            <w:r>
              <w:rPr>
                <w:rFonts w:ascii="Times New Roman" w:hAnsi="Times New Roman"/>
                <w:sz w:val="20"/>
              </w:rPr>
              <w:t>Mehrfamilienhaus, Vorderhaus (fünfgeschossig) und Seitenflügel (dreigeschossig)</w:t>
            </w:r>
          </w:p>
        </w:tc>
      </w:tr>
      <w:tr>
        <w:tc>
          <w:tcPr>
            <w:tcW w:type="dxa" w:w="4536"/>
          </w:tcPr>
          <w:p>
            <w:r>
              <w:rPr>
                <w:rFonts w:ascii="Times New Roman" w:hAnsi="Times New Roman"/>
                <w:sz w:val="20"/>
              </w:rPr>
              <w:t>Wohnfläche gesamt</w:t>
            </w:r>
          </w:p>
        </w:tc>
        <w:tc>
          <w:tcPr>
            <w:tcW w:type="dxa" w:w="4536"/>
          </w:tcPr>
          <w:p>
            <w:r>
              <w:rPr>
                <w:rFonts w:ascii="Times New Roman" w:hAnsi="Times New Roman"/>
                <w:sz w:val="20"/>
              </w:rPr>
              <w:t>ca. 732 m² (laut Liegenschaftskataster; eigene Messung steht aus)</w:t>
            </w:r>
          </w:p>
        </w:tc>
      </w:tr>
      <w:tr>
        <w:tc>
          <w:tcPr>
            <w:tcW w:type="dxa" w:w="4536"/>
          </w:tcPr>
          <w:p>
            <w:r>
              <w:rPr>
                <w:rFonts w:ascii="Times New Roman" w:hAnsi="Times New Roman"/>
                <w:sz w:val="20"/>
              </w:rPr>
              <w:t>Gewerbefläche</w:t>
            </w:r>
          </w:p>
        </w:tc>
        <w:tc>
          <w:tcPr>
            <w:tcW w:type="dxa" w:w="4536"/>
          </w:tcPr>
          <w:p>
            <w:r>
              <w:rPr>
                <w:rFonts w:ascii="Times New Roman" w:hAnsi="Times New Roman"/>
                <w:sz w:val="20"/>
              </w:rPr>
              <w:t>ca. 198 m² (EG Vorderhaus und Seitenflügel)</w:t>
            </w:r>
          </w:p>
        </w:tc>
      </w:tr>
      <w:tr>
        <w:tc>
          <w:tcPr>
            <w:tcW w:type="dxa" w:w="4536"/>
          </w:tcPr>
          <w:p>
            <w:r>
              <w:rPr>
                <w:rFonts w:ascii="Times New Roman" w:hAnsi="Times New Roman"/>
                <w:sz w:val="20"/>
              </w:rPr>
              <w:t>Wohneinheiten</w:t>
            </w:r>
          </w:p>
        </w:tc>
        <w:tc>
          <w:tcPr>
            <w:tcW w:type="dxa" w:w="4536"/>
          </w:tcPr>
          <w:p>
            <w:r>
              <w:rPr>
                <w:rFonts w:ascii="Times New Roman" w:hAnsi="Times New Roman"/>
                <w:sz w:val="20"/>
              </w:rPr>
              <w:t>10 (WE01–WE10)</w:t>
            </w:r>
          </w:p>
        </w:tc>
      </w:tr>
      <w:tr>
        <w:tc>
          <w:tcPr>
            <w:tcW w:type="dxa" w:w="4536"/>
          </w:tcPr>
          <w:p>
            <w:r>
              <w:rPr>
                <w:rFonts w:ascii="Times New Roman" w:hAnsi="Times New Roman"/>
                <w:sz w:val="20"/>
              </w:rPr>
              <w:t>Gewerbeeinheiten</w:t>
            </w:r>
          </w:p>
        </w:tc>
        <w:tc>
          <w:tcPr>
            <w:tcW w:type="dxa" w:w="4536"/>
          </w:tcPr>
          <w:p>
            <w:r>
              <w:rPr>
                <w:rFonts w:ascii="Times New Roman" w:hAnsi="Times New Roman"/>
                <w:sz w:val="20"/>
              </w:rPr>
              <w:t>2 (GE01, GE02)</w:t>
            </w:r>
          </w:p>
        </w:tc>
      </w:tr>
      <w:tr>
        <w:tc>
          <w:tcPr>
            <w:tcW w:type="dxa" w:w="4536"/>
          </w:tcPr>
          <w:p>
            <w:r>
              <w:rPr>
                <w:rFonts w:ascii="Times New Roman" w:hAnsi="Times New Roman"/>
                <w:sz w:val="20"/>
              </w:rPr>
              <w:t>Grundstücksfläche</w:t>
            </w:r>
          </w:p>
        </w:tc>
        <w:tc>
          <w:tcPr>
            <w:tcW w:type="dxa" w:w="4536"/>
          </w:tcPr>
          <w:p>
            <w:r>
              <w:rPr>
                <w:rFonts w:ascii="Times New Roman" w:hAnsi="Times New Roman"/>
                <w:sz w:val="20"/>
              </w:rPr>
              <w:t>642 m²</w:t>
            </w:r>
          </w:p>
        </w:tc>
      </w:tr>
      <w:tr>
        <w:tc>
          <w:tcPr>
            <w:tcW w:type="dxa" w:w="4536"/>
          </w:tcPr>
          <w:p>
            <w:r>
              <w:rPr>
                <w:rFonts w:ascii="Times New Roman" w:hAnsi="Times New Roman"/>
                <w:sz w:val="20"/>
              </w:rPr>
              <w:t>Bebauungsstand</w:t>
            </w:r>
          </w:p>
        </w:tc>
        <w:tc>
          <w:tcPr>
            <w:tcW w:type="dxa" w:w="4536"/>
          </w:tcPr>
          <w:p>
            <w:r>
              <w:rPr>
                <w:rFonts w:ascii="Times New Roman" w:hAnsi="Times New Roman"/>
                <w:sz w:val="20"/>
              </w:rPr>
              <w:t>vollbebaut; kleiner Innenhof ca. 55 m²</w:t>
            </w:r>
          </w:p>
        </w:tc>
      </w:tr>
    </w:tbl>
    <w:p/>
    <w:p>
      <w:pPr>
        <w:pStyle w:val="Heading2"/>
      </w:pPr>
      <w:r>
        <w:rPr>
          <w:rFonts w:ascii="Times New Roman" w:hAnsi="Times New Roman"/>
        </w:rPr>
        <w:t>2. Gebäudezustand – Allgemeine Bewertung</w:t>
      </w:r>
    </w:p>
    <w:p>
      <w:pPr>
        <w:jc w:val="left"/>
      </w:pPr>
      <w:r>
        <w:t>Das Haus wurde zuletzt ca. 2002 teilsaniert (Fassade Vorderhaus, Fenster EG–2.OG). Seitdem sind laut Aussage der Hausmeisterin Karin Lehmann keine größeren Instandhaltungsmaßnahmen erfolgt. Die Hausverwaltung des Schuldners (Büro Feldmann Immobilien, Telefonkontakt bisher erfolglos) hat auf Anfragen seit Februar 2026 nicht reagiert.</w:t>
      </w:r>
    </w:p>
    <w:p>
      <w:pPr>
        <w:pStyle w:val="Heading3"/>
      </w:pPr>
      <w:r>
        <w:rPr>
          <w:rFonts w:ascii="Times New Roman" w:hAnsi="Times New Roman"/>
        </w:rPr>
        <w:t>2.1 Dach und Dachstuhl</w:t>
      </w:r>
    </w:p>
    <w:p>
      <w:pPr>
        <w:jc w:val="left"/>
      </w:pPr>
      <w:r>
        <w:t xml:space="preserve">Das Satteldach des Vorderhauses ist mit Ziegeln eingedeckt. Bei der Begehung sichtbar: zwei verrutschte Dachziegel über dem Traufbereich zum Innenhof, eine lose Dachrinne (ca. 1,80 m Länge) ragt über den Gehweg an der Parkstraße. </w:t>
      </w:r>
      <w:r>
        <w:rPr>
          <w:b/>
        </w:rPr>
        <w:t>Verkehrssicherungsgefahr gegeben</w:t>
      </w:r>
      <w:r>
        <w:t xml:space="preserve"> – sofortiger Handlungsbedarf (vgl. Dokument 07). Der Dachstuhl selbst war von innen (Speicherboden) nicht zugänglich, da Schlüssel fehlt.</w:t>
      </w:r>
    </w:p>
    <w:p>
      <w:pPr>
        <w:pStyle w:val="Heading3"/>
      </w:pPr>
      <w:r>
        <w:rPr>
          <w:rFonts w:ascii="Times New Roman" w:hAnsi="Times New Roman"/>
        </w:rPr>
        <w:t>2.2 Fassade</w:t>
      </w:r>
    </w:p>
    <w:p>
      <w:pPr>
        <w:jc w:val="left"/>
      </w:pPr>
      <w:r>
        <w:t>Vorderhaus-Fassade in mittlerem Erhaltungszustand, vereinzelte Risse im Putz oberhalb des 3. OG. Seitenflügel-Fassade zum Innenhof: starke Feuchtigkeitsflecken im EG-Bereich; Putz blättert ab, Schimmelbildung an der Außenwand der GE01. Balkon 2. OG Vorderhaus (WE04): Geländer locker, Belag rissig.</w:t>
      </w:r>
    </w:p>
    <w:p>
      <w:pPr>
        <w:pStyle w:val="Heading3"/>
      </w:pPr>
      <w:r>
        <w:rPr>
          <w:rFonts w:ascii="Times New Roman" w:hAnsi="Times New Roman"/>
        </w:rPr>
        <w:t>2.3 Treppenhaus</w:t>
      </w:r>
    </w:p>
    <w:p>
      <w:pPr>
        <w:jc w:val="left"/>
      </w:pPr>
      <w:r>
        <w:t>Vorderhaus: Holzgeländer, Linoleum-Stufen, ausreichend erhalten. Treppenhausfenster teilweise undicht (Kittfalz gerissen). Beleuchtung im 4. OG ausgefallen (Leuchtmittel), sonst funktionsfähig. Seitenflügel: Keine eigene Erschließung; Zugang über Innenhof.</w:t>
      </w:r>
    </w:p>
    <w:p>
      <w:pPr>
        <w:pStyle w:val="Heading3"/>
      </w:pPr>
      <w:r>
        <w:rPr>
          <w:rFonts w:ascii="Times New Roman" w:hAnsi="Times New Roman"/>
        </w:rPr>
        <w:t>2.4 Keller</w:t>
      </w:r>
    </w:p>
    <w:p>
      <w:pPr>
        <w:jc w:val="left"/>
      </w:pPr>
      <w:r>
        <w:t xml:space="preserve">Im Keller des Vorderhauses (Parzellen K01–K09 für Mieter): erhebliche Feuchtigkeit an der nördlichen Außenwand und an der Steigleitung (Warmwasser). Verdacht auf defekte Muffe; Wasser tropft. Geruch nach feuchtem Mauerwerk. Kellerparzelle K04 (zugehörig WE04) mit stehendem Wasser ca. 2 cm. </w:t>
      </w:r>
      <w:r>
        <w:rPr>
          <w:b/>
        </w:rPr>
        <w:t>Dringend zu untersuchen</w:t>
      </w:r>
      <w:r>
        <w:t xml:space="preserve"> (Leckortungsauftrag veranlasst, vgl. Dok. 07).</w:t>
      </w:r>
    </w:p>
    <w:p>
      <w:pPr>
        <w:pStyle w:val="Heading3"/>
      </w:pPr>
      <w:r>
        <w:rPr>
          <w:rFonts w:ascii="Times New Roman" w:hAnsi="Times New Roman"/>
        </w:rPr>
        <w:t>2.5 Heizung / Haustechnik</w:t>
      </w:r>
    </w:p>
    <w:p>
      <w:pPr>
        <w:jc w:val="left"/>
      </w:pPr>
      <w:r>
        <w:t>Zentralheizung Gas (Therme Vaillant ecoTEC, Baujahr 2008, letzter Service unbekannt). Heizungsraum im Keller zugänglich. Wartungsprotokoll nicht vor Ort auffindbar. Gashaupthahn zugänglich. Kaltwasserleitungen (Kupfer, verschiedene Baujahre). Boiler-Warmwasserbereitung zentral. Strangregulierventile stellenweise korrodiert.</w:t>
      </w:r>
    </w:p>
    <w:p>
      <w:pPr>
        <w:pStyle w:val="Heading3"/>
      </w:pPr>
      <w:r>
        <w:rPr>
          <w:rFonts w:ascii="Times New Roman" w:hAnsi="Times New Roman"/>
        </w:rPr>
        <w:t>2.6 Wohneinheiten – stichprobenhafte Begehung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Einheit</w:t>
            </w:r>
          </w:p>
        </w:tc>
        <w:tc>
          <w:tcPr>
            <w:tcW w:type="dxa" w:w="1814"/>
          </w:tcPr>
          <w:p>
            <w:r>
              <w:rPr>
                <w:rFonts w:ascii="Times New Roman" w:hAnsi="Times New Roman"/>
                <w:b/>
                <w:sz w:val="20"/>
              </w:rPr>
              <w:t>Lage</w:t>
            </w:r>
          </w:p>
        </w:tc>
        <w:tc>
          <w:tcPr>
            <w:tcW w:type="dxa" w:w="1814"/>
          </w:tcPr>
          <w:p>
            <w:r>
              <w:rPr>
                <w:rFonts w:ascii="Times New Roman" w:hAnsi="Times New Roman"/>
                <w:b/>
                <w:sz w:val="20"/>
              </w:rPr>
              <w:t>Fläche (m²)</w:t>
            </w:r>
          </w:p>
        </w:tc>
        <w:tc>
          <w:tcPr>
            <w:tcW w:type="dxa" w:w="1814"/>
          </w:tcPr>
          <w:p>
            <w:r>
              <w:rPr>
                <w:rFonts w:ascii="Times New Roman" w:hAnsi="Times New Roman"/>
                <w:b/>
                <w:sz w:val="20"/>
              </w:rPr>
              <w:t>Zustand</w:t>
            </w:r>
          </w:p>
        </w:tc>
        <w:tc>
          <w:tcPr>
            <w:tcW w:type="dxa" w:w="1814"/>
          </w:tcPr>
          <w:p>
            <w:r>
              <w:rPr>
                <w:rFonts w:ascii="Times New Roman" w:hAnsi="Times New Roman"/>
                <w:b/>
                <w:sz w:val="20"/>
              </w:rPr>
              <w:t>Anmerkungen</w:t>
            </w:r>
          </w:p>
        </w:tc>
      </w:tr>
      <w:tr>
        <w:tc>
          <w:tcPr>
            <w:tcW w:type="dxa" w:w="1814"/>
          </w:tcPr>
          <w:p>
            <w:r>
              <w:rPr>
                <w:rFonts w:ascii="Times New Roman" w:hAnsi="Times New Roman"/>
                <w:sz w:val="20"/>
              </w:rPr>
              <w:t>WE01</w:t>
            </w:r>
          </w:p>
        </w:tc>
        <w:tc>
          <w:tcPr>
            <w:tcW w:type="dxa" w:w="1814"/>
          </w:tcPr>
          <w:p>
            <w:r>
              <w:rPr>
                <w:rFonts w:ascii="Times New Roman" w:hAnsi="Times New Roman"/>
                <w:sz w:val="20"/>
              </w:rPr>
              <w:t>VH EG links</w:t>
            </w:r>
          </w:p>
        </w:tc>
        <w:tc>
          <w:tcPr>
            <w:tcW w:type="dxa" w:w="1814"/>
          </w:tcPr>
          <w:p>
            <w:r>
              <w:rPr>
                <w:rFonts w:ascii="Times New Roman" w:hAnsi="Times New Roman"/>
                <w:sz w:val="20"/>
              </w:rPr>
              <w:t>58</w:t>
            </w:r>
          </w:p>
        </w:tc>
        <w:tc>
          <w:tcPr>
            <w:tcW w:type="dxa" w:w="1814"/>
          </w:tcPr>
          <w:p>
            <w:r>
              <w:rPr>
                <w:rFonts w:ascii="Times New Roman" w:hAnsi="Times New Roman"/>
                <w:sz w:val="20"/>
              </w:rPr>
              <w:t>gut</w:t>
            </w:r>
          </w:p>
        </w:tc>
        <w:tc>
          <w:tcPr>
            <w:tcW w:type="dxa" w:w="1814"/>
          </w:tcPr>
          <w:p>
            <w:r>
              <w:rPr>
                <w:rFonts w:ascii="Times New Roman" w:hAnsi="Times New Roman"/>
                <w:sz w:val="20"/>
              </w:rPr>
              <w:t>frisch tapeziert, keine Mängel</w:t>
            </w:r>
          </w:p>
        </w:tc>
      </w:tr>
      <w:tr>
        <w:tc>
          <w:tcPr>
            <w:tcW w:type="dxa" w:w="1814"/>
          </w:tcPr>
          <w:p>
            <w:r>
              <w:rPr>
                <w:rFonts w:ascii="Times New Roman" w:hAnsi="Times New Roman"/>
                <w:sz w:val="20"/>
              </w:rPr>
              <w:t>WE02</w:t>
            </w:r>
          </w:p>
        </w:tc>
        <w:tc>
          <w:tcPr>
            <w:tcW w:type="dxa" w:w="1814"/>
          </w:tcPr>
          <w:p>
            <w:r>
              <w:rPr>
                <w:rFonts w:ascii="Times New Roman" w:hAnsi="Times New Roman"/>
                <w:sz w:val="20"/>
              </w:rPr>
              <w:t>VH EG rechts</w:t>
            </w:r>
          </w:p>
        </w:tc>
        <w:tc>
          <w:tcPr>
            <w:tcW w:type="dxa" w:w="1814"/>
          </w:tcPr>
          <w:p>
            <w:r>
              <w:rPr>
                <w:rFonts w:ascii="Times New Roman" w:hAnsi="Times New Roman"/>
                <w:sz w:val="20"/>
              </w:rPr>
              <w:t>55</w:t>
            </w:r>
          </w:p>
        </w:tc>
        <w:tc>
          <w:tcPr>
            <w:tcW w:type="dxa" w:w="1814"/>
          </w:tcPr>
          <w:p>
            <w:r>
              <w:rPr>
                <w:rFonts w:ascii="Times New Roman" w:hAnsi="Times New Roman"/>
                <w:sz w:val="20"/>
              </w:rPr>
              <w:t>mittel</w:t>
            </w:r>
          </w:p>
        </w:tc>
        <w:tc>
          <w:tcPr>
            <w:tcW w:type="dxa" w:w="1814"/>
          </w:tcPr>
          <w:p>
            <w:r>
              <w:rPr>
                <w:rFonts w:ascii="Times New Roman" w:hAnsi="Times New Roman"/>
                <w:sz w:val="20"/>
              </w:rPr>
              <w:t>Fensterdichtungen alt, WC-Siphon tropft</w:t>
            </w:r>
          </w:p>
        </w:tc>
      </w:tr>
      <w:tr>
        <w:tc>
          <w:tcPr>
            <w:tcW w:type="dxa" w:w="1814"/>
          </w:tcPr>
          <w:p>
            <w:r>
              <w:rPr>
                <w:rFonts w:ascii="Times New Roman" w:hAnsi="Times New Roman"/>
                <w:sz w:val="20"/>
              </w:rPr>
              <w:t>WE03</w:t>
            </w:r>
          </w:p>
        </w:tc>
        <w:tc>
          <w:tcPr>
            <w:tcW w:type="dxa" w:w="1814"/>
          </w:tcPr>
          <w:p>
            <w:r>
              <w:rPr>
                <w:rFonts w:ascii="Times New Roman" w:hAnsi="Times New Roman"/>
                <w:sz w:val="20"/>
              </w:rPr>
              <w:t>VH 1. OG links</w:t>
            </w:r>
          </w:p>
        </w:tc>
        <w:tc>
          <w:tcPr>
            <w:tcW w:type="dxa" w:w="1814"/>
          </w:tcPr>
          <w:p>
            <w:r>
              <w:rPr>
                <w:rFonts w:ascii="Times New Roman" w:hAnsi="Times New Roman"/>
                <w:sz w:val="20"/>
              </w:rPr>
              <w:t>72</w:t>
            </w:r>
          </w:p>
        </w:tc>
        <w:tc>
          <w:tcPr>
            <w:tcW w:type="dxa" w:w="1814"/>
          </w:tcPr>
          <w:p>
            <w:r>
              <w:rPr>
                <w:rFonts w:ascii="Times New Roman" w:hAnsi="Times New Roman"/>
                <w:sz w:val="20"/>
              </w:rPr>
              <w:t>leer</w:t>
            </w:r>
          </w:p>
        </w:tc>
        <w:tc>
          <w:tcPr>
            <w:tcW w:type="dxa" w:w="1814"/>
          </w:tcPr>
          <w:p>
            <w:r>
              <w:rPr>
                <w:rFonts w:ascii="Times New Roman" w:hAnsi="Times New Roman"/>
                <w:sz w:val="20"/>
              </w:rPr>
              <w:t>Vormieter ausgezogen Dez. 2025, Renovierungsbedarf</w:t>
            </w:r>
          </w:p>
        </w:tc>
      </w:tr>
      <w:tr>
        <w:tc>
          <w:tcPr>
            <w:tcW w:type="dxa" w:w="1814"/>
          </w:tcPr>
          <w:p>
            <w:r>
              <w:rPr>
                <w:rFonts w:ascii="Times New Roman" w:hAnsi="Times New Roman"/>
                <w:sz w:val="20"/>
              </w:rPr>
              <w:t>WE04</w:t>
            </w:r>
          </w:p>
        </w:tc>
        <w:tc>
          <w:tcPr>
            <w:tcW w:type="dxa" w:w="1814"/>
          </w:tcPr>
          <w:p>
            <w:r>
              <w:rPr>
                <w:rFonts w:ascii="Times New Roman" w:hAnsi="Times New Roman"/>
                <w:sz w:val="20"/>
              </w:rPr>
              <w:t>VH 1. OG rechts</w:t>
            </w:r>
          </w:p>
        </w:tc>
        <w:tc>
          <w:tcPr>
            <w:tcW w:type="dxa" w:w="1814"/>
          </w:tcPr>
          <w:p>
            <w:r>
              <w:rPr>
                <w:rFonts w:ascii="Times New Roman" w:hAnsi="Times New Roman"/>
                <w:sz w:val="20"/>
              </w:rPr>
              <w:t>68</w:t>
            </w:r>
          </w:p>
        </w:tc>
        <w:tc>
          <w:tcPr>
            <w:tcW w:type="dxa" w:w="1814"/>
          </w:tcPr>
          <w:p>
            <w:r>
              <w:rPr>
                <w:rFonts w:ascii="Times New Roman" w:hAnsi="Times New Roman"/>
                <w:sz w:val="20"/>
              </w:rPr>
              <w:t>mittel</w:t>
            </w:r>
          </w:p>
        </w:tc>
        <w:tc>
          <w:tcPr>
            <w:tcW w:type="dxa" w:w="1814"/>
          </w:tcPr>
          <w:p>
            <w:r>
              <w:rPr>
                <w:rFonts w:ascii="Times New Roman" w:hAnsi="Times New Roman"/>
                <w:sz w:val="20"/>
              </w:rPr>
              <w:t>Balkon-Geländer gefährdet, Schimmel Bad</w:t>
            </w:r>
          </w:p>
        </w:tc>
      </w:tr>
      <w:tr>
        <w:tc>
          <w:tcPr>
            <w:tcW w:type="dxa" w:w="1814"/>
          </w:tcPr>
          <w:p>
            <w:r>
              <w:rPr>
                <w:rFonts w:ascii="Times New Roman" w:hAnsi="Times New Roman"/>
                <w:sz w:val="20"/>
              </w:rPr>
              <w:t>WE05</w:t>
            </w:r>
          </w:p>
        </w:tc>
        <w:tc>
          <w:tcPr>
            <w:tcW w:type="dxa" w:w="1814"/>
          </w:tcPr>
          <w:p>
            <w:r>
              <w:rPr>
                <w:rFonts w:ascii="Times New Roman" w:hAnsi="Times New Roman"/>
                <w:sz w:val="20"/>
              </w:rPr>
              <w:t>VH 2. OG links</w:t>
            </w:r>
          </w:p>
        </w:tc>
        <w:tc>
          <w:tcPr>
            <w:tcW w:type="dxa" w:w="1814"/>
          </w:tcPr>
          <w:p>
            <w:r>
              <w:rPr>
                <w:rFonts w:ascii="Times New Roman" w:hAnsi="Times New Roman"/>
                <w:sz w:val="20"/>
              </w:rPr>
              <w:t>72</w:t>
            </w:r>
          </w:p>
        </w:tc>
        <w:tc>
          <w:tcPr>
            <w:tcW w:type="dxa" w:w="1814"/>
          </w:tcPr>
          <w:p>
            <w:r>
              <w:rPr>
                <w:rFonts w:ascii="Times New Roman" w:hAnsi="Times New Roman"/>
                <w:sz w:val="20"/>
              </w:rPr>
              <w:t>gut</w:t>
            </w:r>
          </w:p>
        </w:tc>
        <w:tc>
          <w:tcPr>
            <w:tcW w:type="dxa" w:w="1814"/>
          </w:tcPr>
          <w:p>
            <w:r>
              <w:rPr>
                <w:rFonts w:ascii="Times New Roman" w:hAnsi="Times New Roman"/>
                <w:sz w:val="20"/>
              </w:rPr>
              <w:t>gepflegt, keine Zutrittsprobleme</w:t>
            </w:r>
          </w:p>
        </w:tc>
      </w:tr>
      <w:tr>
        <w:tc>
          <w:tcPr>
            <w:tcW w:type="dxa" w:w="1814"/>
          </w:tcPr>
          <w:p>
            <w:r>
              <w:rPr>
                <w:rFonts w:ascii="Times New Roman" w:hAnsi="Times New Roman"/>
                <w:sz w:val="20"/>
              </w:rPr>
              <w:t>WE06</w:t>
            </w:r>
          </w:p>
        </w:tc>
        <w:tc>
          <w:tcPr>
            <w:tcW w:type="dxa" w:w="1814"/>
          </w:tcPr>
          <w:p>
            <w:r>
              <w:rPr>
                <w:rFonts w:ascii="Times New Roman" w:hAnsi="Times New Roman"/>
                <w:sz w:val="20"/>
              </w:rPr>
              <w:t>VH 2. OG rechts</w:t>
            </w:r>
          </w:p>
        </w:tc>
        <w:tc>
          <w:tcPr>
            <w:tcW w:type="dxa" w:w="1814"/>
          </w:tcPr>
          <w:p>
            <w:r>
              <w:rPr>
                <w:rFonts w:ascii="Times New Roman" w:hAnsi="Times New Roman"/>
                <w:sz w:val="20"/>
              </w:rPr>
              <w:t>68</w:t>
            </w:r>
          </w:p>
        </w:tc>
        <w:tc>
          <w:tcPr>
            <w:tcW w:type="dxa" w:w="1814"/>
          </w:tcPr>
          <w:p>
            <w:r>
              <w:rPr>
                <w:rFonts w:ascii="Times New Roman" w:hAnsi="Times New Roman"/>
                <w:sz w:val="20"/>
              </w:rPr>
              <w:t>mittel</w:t>
            </w:r>
          </w:p>
        </w:tc>
        <w:tc>
          <w:tcPr>
            <w:tcW w:type="dxa" w:w="1814"/>
          </w:tcPr>
          <w:p>
            <w:r>
              <w:rPr>
                <w:rFonts w:ascii="Times New Roman" w:hAnsi="Times New Roman"/>
                <w:sz w:val="20"/>
              </w:rPr>
              <w:t>Dielen knarzen, Schallschutz mangelhaft</w:t>
            </w:r>
          </w:p>
        </w:tc>
      </w:tr>
      <w:tr>
        <w:tc>
          <w:tcPr>
            <w:tcW w:type="dxa" w:w="1814"/>
          </w:tcPr>
          <w:p>
            <w:r>
              <w:rPr>
                <w:rFonts w:ascii="Times New Roman" w:hAnsi="Times New Roman"/>
                <w:sz w:val="20"/>
              </w:rPr>
              <w:t>WE07</w:t>
            </w:r>
          </w:p>
        </w:tc>
        <w:tc>
          <w:tcPr>
            <w:tcW w:type="dxa" w:w="1814"/>
          </w:tcPr>
          <w:p>
            <w:r>
              <w:rPr>
                <w:rFonts w:ascii="Times New Roman" w:hAnsi="Times New Roman"/>
                <w:sz w:val="20"/>
              </w:rPr>
              <w:t>VH 3. OG links</w:t>
            </w:r>
          </w:p>
        </w:tc>
        <w:tc>
          <w:tcPr>
            <w:tcW w:type="dxa" w:w="1814"/>
          </w:tcPr>
          <w:p>
            <w:r>
              <w:rPr>
                <w:rFonts w:ascii="Times New Roman" w:hAnsi="Times New Roman"/>
                <w:sz w:val="20"/>
              </w:rPr>
              <w:t>72</w:t>
            </w:r>
          </w:p>
        </w:tc>
        <w:tc>
          <w:tcPr>
            <w:tcW w:type="dxa" w:w="1814"/>
          </w:tcPr>
          <w:p>
            <w:r>
              <w:rPr>
                <w:rFonts w:ascii="Times New Roman" w:hAnsi="Times New Roman"/>
                <w:sz w:val="20"/>
              </w:rPr>
              <w:t>gut</w:t>
            </w:r>
          </w:p>
        </w:tc>
        <w:tc>
          <w:tcPr>
            <w:tcW w:type="dxa" w:w="1814"/>
          </w:tcPr>
          <w:p>
            <w:r>
              <w:rPr>
                <w:rFonts w:ascii="Times New Roman" w:hAnsi="Times New Roman"/>
                <w:sz w:val="20"/>
              </w:rPr>
              <w:t>neuere Einbauküche, ordentlich</w:t>
            </w:r>
          </w:p>
        </w:tc>
      </w:tr>
      <w:tr>
        <w:tc>
          <w:tcPr>
            <w:tcW w:type="dxa" w:w="1814"/>
          </w:tcPr>
          <w:p>
            <w:r>
              <w:rPr>
                <w:rFonts w:ascii="Times New Roman" w:hAnsi="Times New Roman"/>
                <w:sz w:val="20"/>
              </w:rPr>
              <w:t>WE08</w:t>
            </w:r>
          </w:p>
        </w:tc>
        <w:tc>
          <w:tcPr>
            <w:tcW w:type="dxa" w:w="1814"/>
          </w:tcPr>
          <w:p>
            <w:r>
              <w:rPr>
                <w:rFonts w:ascii="Times New Roman" w:hAnsi="Times New Roman"/>
                <w:sz w:val="20"/>
              </w:rPr>
              <w:t>VH 3. OG rechts</w:t>
            </w:r>
          </w:p>
        </w:tc>
        <w:tc>
          <w:tcPr>
            <w:tcW w:type="dxa" w:w="1814"/>
          </w:tcPr>
          <w:p>
            <w:r>
              <w:rPr>
                <w:rFonts w:ascii="Times New Roman" w:hAnsi="Times New Roman"/>
                <w:sz w:val="20"/>
              </w:rPr>
              <w:t>68</w:t>
            </w:r>
          </w:p>
        </w:tc>
        <w:tc>
          <w:tcPr>
            <w:tcW w:type="dxa" w:w="1814"/>
          </w:tcPr>
          <w:p>
            <w:r>
              <w:rPr>
                <w:rFonts w:ascii="Times New Roman" w:hAnsi="Times New Roman"/>
                <w:sz w:val="20"/>
              </w:rPr>
              <w:t>mittel</w:t>
            </w:r>
          </w:p>
        </w:tc>
        <w:tc>
          <w:tcPr>
            <w:tcW w:type="dxa" w:w="1814"/>
          </w:tcPr>
          <w:p>
            <w:r>
              <w:rPr>
                <w:rFonts w:ascii="Times New Roman" w:hAnsi="Times New Roman"/>
                <w:sz w:val="20"/>
              </w:rPr>
              <w:t>Fenster undicht, Heizungsthermostat defekt</w:t>
            </w:r>
          </w:p>
        </w:tc>
      </w:tr>
      <w:tr>
        <w:tc>
          <w:tcPr>
            <w:tcW w:type="dxa" w:w="1814"/>
          </w:tcPr>
          <w:p>
            <w:r>
              <w:rPr>
                <w:rFonts w:ascii="Times New Roman" w:hAnsi="Times New Roman"/>
                <w:sz w:val="20"/>
              </w:rPr>
              <w:t>WE09</w:t>
            </w:r>
          </w:p>
        </w:tc>
        <w:tc>
          <w:tcPr>
            <w:tcW w:type="dxa" w:w="1814"/>
          </w:tcPr>
          <w:p>
            <w:r>
              <w:rPr>
                <w:rFonts w:ascii="Times New Roman" w:hAnsi="Times New Roman"/>
                <w:sz w:val="20"/>
              </w:rPr>
              <w:t>VH DG</w:t>
            </w:r>
          </w:p>
        </w:tc>
        <w:tc>
          <w:tcPr>
            <w:tcW w:type="dxa" w:w="1814"/>
          </w:tcPr>
          <w:p>
            <w:r>
              <w:rPr>
                <w:rFonts w:ascii="Times New Roman" w:hAnsi="Times New Roman"/>
                <w:sz w:val="20"/>
              </w:rPr>
              <w:t>48</w:t>
            </w:r>
          </w:p>
        </w:tc>
        <w:tc>
          <w:tcPr>
            <w:tcW w:type="dxa" w:w="1814"/>
          </w:tcPr>
          <w:p>
            <w:r>
              <w:rPr>
                <w:rFonts w:ascii="Times New Roman" w:hAnsi="Times New Roman"/>
                <w:sz w:val="20"/>
              </w:rPr>
              <w:t>sanierungsbedürftig</w:t>
            </w:r>
          </w:p>
        </w:tc>
        <w:tc>
          <w:tcPr>
            <w:tcW w:type="dxa" w:w="1814"/>
          </w:tcPr>
          <w:p>
            <w:r>
              <w:rPr>
                <w:rFonts w:ascii="Times New Roman" w:hAnsi="Times New Roman"/>
                <w:sz w:val="20"/>
              </w:rPr>
              <w:t>Dachfenster undicht, Schimmelflecken Decke</w:t>
            </w:r>
          </w:p>
        </w:tc>
      </w:tr>
      <w:tr>
        <w:tc>
          <w:tcPr>
            <w:tcW w:type="dxa" w:w="1814"/>
          </w:tcPr>
          <w:p>
            <w:r>
              <w:rPr>
                <w:rFonts w:ascii="Times New Roman" w:hAnsi="Times New Roman"/>
                <w:sz w:val="20"/>
              </w:rPr>
              <w:t>WE10</w:t>
            </w:r>
          </w:p>
        </w:tc>
        <w:tc>
          <w:tcPr>
            <w:tcW w:type="dxa" w:w="1814"/>
          </w:tcPr>
          <w:p>
            <w:r>
              <w:rPr>
                <w:rFonts w:ascii="Times New Roman" w:hAnsi="Times New Roman"/>
                <w:sz w:val="20"/>
              </w:rPr>
              <w:t>Seitenflügel OG</w:t>
            </w:r>
          </w:p>
        </w:tc>
        <w:tc>
          <w:tcPr>
            <w:tcW w:type="dxa" w:w="1814"/>
          </w:tcPr>
          <w:p>
            <w:r>
              <w:rPr>
                <w:rFonts w:ascii="Times New Roman" w:hAnsi="Times New Roman"/>
                <w:sz w:val="20"/>
              </w:rPr>
              <w:t>51</w:t>
            </w:r>
          </w:p>
        </w:tc>
        <w:tc>
          <w:tcPr>
            <w:tcW w:type="dxa" w:w="1814"/>
          </w:tcPr>
          <w:p>
            <w:r>
              <w:rPr>
                <w:rFonts w:ascii="Times New Roman" w:hAnsi="Times New Roman"/>
                <w:sz w:val="20"/>
              </w:rPr>
              <w:t>mittel</w:t>
            </w:r>
          </w:p>
        </w:tc>
        <w:tc>
          <w:tcPr>
            <w:tcW w:type="dxa" w:w="1814"/>
          </w:tcPr>
          <w:p>
            <w:r>
              <w:rPr>
                <w:rFonts w:ascii="Times New Roman" w:hAnsi="Times New Roman"/>
                <w:sz w:val="20"/>
              </w:rPr>
              <w:t>Putzschäden innen, Bad erneuerungsbedürftig</w:t>
            </w:r>
          </w:p>
        </w:tc>
      </w:tr>
      <w:tr>
        <w:tc>
          <w:tcPr>
            <w:tcW w:type="dxa" w:w="1814"/>
          </w:tcPr>
          <w:p>
            <w:r>
              <w:rPr>
                <w:rFonts w:ascii="Times New Roman" w:hAnsi="Times New Roman"/>
                <w:sz w:val="20"/>
              </w:rPr>
              <w:t>GE01</w:t>
            </w:r>
          </w:p>
        </w:tc>
        <w:tc>
          <w:tcPr>
            <w:tcW w:type="dxa" w:w="1814"/>
          </w:tcPr>
          <w:p>
            <w:r>
              <w:rPr>
                <w:rFonts w:ascii="Times New Roman" w:hAnsi="Times New Roman"/>
                <w:sz w:val="20"/>
              </w:rPr>
              <w:t>VH+SF EG</w:t>
            </w:r>
          </w:p>
        </w:tc>
        <w:tc>
          <w:tcPr>
            <w:tcW w:type="dxa" w:w="1814"/>
          </w:tcPr>
          <w:p>
            <w:r>
              <w:rPr>
                <w:rFonts w:ascii="Times New Roman" w:hAnsi="Times New Roman"/>
                <w:sz w:val="20"/>
              </w:rPr>
              <w:t>124</w:t>
            </w:r>
          </w:p>
        </w:tc>
        <w:tc>
          <w:tcPr>
            <w:tcW w:type="dxa" w:w="1814"/>
          </w:tcPr>
          <w:p>
            <w:r>
              <w:rPr>
                <w:rFonts w:ascii="Times New Roman" w:hAnsi="Times New Roman"/>
                <w:sz w:val="20"/>
              </w:rPr>
              <w:t>mangelbehaftet</w:t>
            </w:r>
          </w:p>
        </w:tc>
        <w:tc>
          <w:tcPr>
            <w:tcW w:type="dxa" w:w="1814"/>
          </w:tcPr>
          <w:p>
            <w:r>
              <w:rPr>
                <w:rFonts w:ascii="Times New Roman" w:hAnsi="Times New Roman"/>
                <w:sz w:val="20"/>
              </w:rPr>
              <w:t>Feuchtigkeitsschäden Außenwand, Betrieb Bäckerei</w:t>
            </w:r>
          </w:p>
        </w:tc>
      </w:tr>
      <w:tr>
        <w:tc>
          <w:tcPr>
            <w:tcW w:type="dxa" w:w="1814"/>
          </w:tcPr>
          <w:p>
            <w:r>
              <w:rPr>
                <w:rFonts w:ascii="Times New Roman" w:hAnsi="Times New Roman"/>
                <w:sz w:val="20"/>
              </w:rPr>
              <w:t>GE02</w:t>
            </w:r>
          </w:p>
        </w:tc>
        <w:tc>
          <w:tcPr>
            <w:tcW w:type="dxa" w:w="1814"/>
          </w:tcPr>
          <w:p>
            <w:r>
              <w:rPr>
                <w:rFonts w:ascii="Times New Roman" w:hAnsi="Times New Roman"/>
                <w:sz w:val="20"/>
              </w:rPr>
              <w:t>SF EG</w:t>
            </w:r>
          </w:p>
        </w:tc>
        <w:tc>
          <w:tcPr>
            <w:tcW w:type="dxa" w:w="1814"/>
          </w:tcPr>
          <w:p>
            <w:r>
              <w:rPr>
                <w:rFonts w:ascii="Times New Roman" w:hAnsi="Times New Roman"/>
                <w:sz w:val="20"/>
              </w:rPr>
              <w:t>74</w:t>
            </w:r>
          </w:p>
        </w:tc>
        <w:tc>
          <w:tcPr>
            <w:tcW w:type="dxa" w:w="1814"/>
          </w:tcPr>
          <w:p>
            <w:r>
              <w:rPr>
                <w:rFonts w:ascii="Times New Roman" w:hAnsi="Times New Roman"/>
                <w:sz w:val="20"/>
              </w:rPr>
              <w:t>gut</w:t>
            </w:r>
          </w:p>
        </w:tc>
        <w:tc>
          <w:tcPr>
            <w:tcW w:type="dxa" w:w="1814"/>
          </w:tcPr>
          <w:p>
            <w:r>
              <w:rPr>
                <w:rFonts w:ascii="Times New Roman" w:hAnsi="Times New Roman"/>
                <w:sz w:val="20"/>
              </w:rPr>
              <w:t>Kosmetikstudio, gut erhalten</w:t>
            </w:r>
          </w:p>
        </w:tc>
      </w:tr>
    </w:tbl>
    <w:p/>
    <w:p>
      <w:pPr>
        <w:pStyle w:val="Heading2"/>
      </w:pPr>
      <w:r>
        <w:rPr>
          <w:rFonts w:ascii="Times New Roman" w:hAnsi="Times New Roman"/>
        </w:rPr>
        <w:t>3. Schlüsselsituation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Schlüssel vorhanden</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Hauseingangstür</w:t>
            </w:r>
          </w:p>
        </w:tc>
        <w:tc>
          <w:tcPr>
            <w:tcW w:type="dxa" w:w="3024"/>
          </w:tcPr>
          <w:p>
            <w:r>
              <w:rPr>
                <w:rFonts w:ascii="Times New Roman" w:hAnsi="Times New Roman"/>
                <w:sz w:val="20"/>
              </w:rPr>
              <w:t>ja (2 Stück, via Hausmeisterin)</w:t>
            </w:r>
          </w:p>
        </w:tc>
        <w:tc>
          <w:tcPr>
            <w:tcW w:type="dxa" w:w="3024"/>
          </w:tcPr>
          <w:p/>
        </w:tc>
      </w:tr>
      <w:tr>
        <w:tc>
          <w:tcPr>
            <w:tcW w:type="dxa" w:w="3024"/>
          </w:tcPr>
          <w:p>
            <w:r>
              <w:rPr>
                <w:rFonts w:ascii="Times New Roman" w:hAnsi="Times New Roman"/>
                <w:sz w:val="20"/>
              </w:rPr>
              <w:t>Wohnungstüren WE01–WE10</w:t>
            </w:r>
          </w:p>
        </w:tc>
        <w:tc>
          <w:tcPr>
            <w:tcW w:type="dxa" w:w="3024"/>
          </w:tcPr>
          <w:p>
            <w:r>
              <w:rPr>
                <w:rFonts w:ascii="Times New Roman" w:hAnsi="Times New Roman"/>
                <w:sz w:val="20"/>
              </w:rPr>
              <w:t>nein (bei Mietern)</w:t>
            </w:r>
          </w:p>
        </w:tc>
        <w:tc>
          <w:tcPr>
            <w:tcW w:type="dxa" w:w="3024"/>
          </w:tcPr>
          <w:p>
            <w:r>
              <w:rPr>
                <w:rFonts w:ascii="Times New Roman" w:hAnsi="Times New Roman"/>
                <w:sz w:val="20"/>
              </w:rPr>
              <w:t>Notfallschlüssel nicht hinterlegt</w:t>
            </w:r>
          </w:p>
        </w:tc>
      </w:tr>
      <w:tr>
        <w:tc>
          <w:tcPr>
            <w:tcW w:type="dxa" w:w="3024"/>
          </w:tcPr>
          <w:p>
            <w:r>
              <w:rPr>
                <w:rFonts w:ascii="Times New Roman" w:hAnsi="Times New Roman"/>
                <w:sz w:val="20"/>
              </w:rPr>
              <w:t>Kellerhaupttür</w:t>
            </w:r>
          </w:p>
        </w:tc>
        <w:tc>
          <w:tcPr>
            <w:tcW w:type="dxa" w:w="3024"/>
          </w:tcPr>
          <w:p>
            <w:r>
              <w:rPr>
                <w:rFonts w:ascii="Times New Roman" w:hAnsi="Times New Roman"/>
                <w:sz w:val="20"/>
              </w:rPr>
              <w:t>ja (1 Stück)</w:t>
            </w:r>
          </w:p>
        </w:tc>
        <w:tc>
          <w:tcPr>
            <w:tcW w:type="dxa" w:w="3024"/>
          </w:tcPr>
          <w:p/>
        </w:tc>
      </w:tr>
      <w:tr>
        <w:tc>
          <w:tcPr>
            <w:tcW w:type="dxa" w:w="3024"/>
          </w:tcPr>
          <w:p>
            <w:r>
              <w:rPr>
                <w:rFonts w:ascii="Times New Roman" w:hAnsi="Times New Roman"/>
                <w:sz w:val="20"/>
              </w:rPr>
              <w:t>Kellerparzellen</w:t>
            </w:r>
          </w:p>
        </w:tc>
        <w:tc>
          <w:tcPr>
            <w:tcW w:type="dxa" w:w="3024"/>
          </w:tcPr>
          <w:p>
            <w:r>
              <w:rPr>
                <w:rFonts w:ascii="Times New Roman" w:hAnsi="Times New Roman"/>
                <w:sz w:val="20"/>
              </w:rPr>
              <w:t>nein</w:t>
            </w:r>
          </w:p>
        </w:tc>
        <w:tc>
          <w:tcPr>
            <w:tcW w:type="dxa" w:w="3024"/>
          </w:tcPr>
          <w:p>
            <w:r>
              <w:rPr>
                <w:rFonts w:ascii="Times New Roman" w:hAnsi="Times New Roman"/>
                <w:sz w:val="20"/>
              </w:rPr>
              <w:t>Mieter haben eigene Schlösser</w:t>
            </w:r>
          </w:p>
        </w:tc>
      </w:tr>
      <w:tr>
        <w:tc>
          <w:tcPr>
            <w:tcW w:type="dxa" w:w="3024"/>
          </w:tcPr>
          <w:p>
            <w:r>
              <w:rPr>
                <w:rFonts w:ascii="Times New Roman" w:hAnsi="Times New Roman"/>
                <w:sz w:val="20"/>
              </w:rPr>
              <w:t>Technikraum / Heizungsraum</w:t>
            </w:r>
          </w:p>
        </w:tc>
        <w:tc>
          <w:tcPr>
            <w:tcW w:type="dxa" w:w="3024"/>
          </w:tcPr>
          <w:p>
            <w:r>
              <w:rPr>
                <w:rFonts w:ascii="Times New Roman" w:hAnsi="Times New Roman"/>
                <w:sz w:val="20"/>
              </w:rPr>
              <w:t>nein</w:t>
            </w:r>
          </w:p>
        </w:tc>
        <w:tc>
          <w:tcPr>
            <w:tcW w:type="dxa" w:w="3024"/>
          </w:tcPr>
          <w:p>
            <w:r>
              <w:rPr>
                <w:rFonts w:ascii="Times New Roman" w:hAnsi="Times New Roman"/>
                <w:sz w:val="20"/>
              </w:rPr>
              <w:t>Schlüssel beim Schuldner</w:t>
            </w:r>
          </w:p>
        </w:tc>
      </w:tr>
      <w:tr>
        <w:tc>
          <w:tcPr>
            <w:tcW w:type="dxa" w:w="3024"/>
          </w:tcPr>
          <w:p>
            <w:r>
              <w:rPr>
                <w:rFonts w:ascii="Times New Roman" w:hAnsi="Times New Roman"/>
                <w:sz w:val="20"/>
              </w:rPr>
              <w:t>Dachboden</w:t>
            </w:r>
          </w:p>
        </w:tc>
        <w:tc>
          <w:tcPr>
            <w:tcW w:type="dxa" w:w="3024"/>
          </w:tcPr>
          <w:p>
            <w:r>
              <w:rPr>
                <w:rFonts w:ascii="Times New Roman" w:hAnsi="Times New Roman"/>
                <w:sz w:val="20"/>
              </w:rPr>
              <w:t>nein</w:t>
            </w:r>
          </w:p>
        </w:tc>
        <w:tc>
          <w:tcPr>
            <w:tcW w:type="dxa" w:w="3024"/>
          </w:tcPr>
          <w:p>
            <w:r>
              <w:rPr>
                <w:rFonts w:ascii="Times New Roman" w:hAnsi="Times New Roman"/>
                <w:sz w:val="20"/>
              </w:rPr>
              <w:t>Schlüssel beim Schuldner</w:t>
            </w:r>
          </w:p>
        </w:tc>
      </w:tr>
      <w:tr>
        <w:tc>
          <w:tcPr>
            <w:tcW w:type="dxa" w:w="3024"/>
          </w:tcPr>
          <w:p>
            <w:r>
              <w:rPr>
                <w:rFonts w:ascii="Times New Roman" w:hAnsi="Times New Roman"/>
                <w:sz w:val="20"/>
              </w:rPr>
              <w:t>Briefkasten Hausverwaltung</w:t>
            </w:r>
          </w:p>
        </w:tc>
        <w:tc>
          <w:tcPr>
            <w:tcW w:type="dxa" w:w="3024"/>
          </w:tcPr>
          <w:p>
            <w:r>
              <w:rPr>
                <w:rFonts w:ascii="Times New Roman" w:hAnsi="Times New Roman"/>
                <w:sz w:val="20"/>
              </w:rPr>
              <w:t>nicht gefunden</w:t>
            </w:r>
          </w:p>
        </w:tc>
        <w:tc>
          <w:tcPr>
            <w:tcW w:type="dxa" w:w="3024"/>
          </w:tcPr>
          <w:p/>
        </w:tc>
      </w:tr>
    </w:tbl>
    <w:p>
      <w:pPr>
        <w:jc w:val="left"/>
      </w:pPr>
      <w:r>
        <w:rPr>
          <w:b/>
        </w:rPr>
        <w:t>Maßnahme:</w:t>
      </w:r>
      <w:r>
        <w:t xml:space="preserve"> Anforderung aller Schlüssel von Schuldner Feldmann, bei Nichterfüllung binnen 5 Tagen: Beauftragung Schlüsseldienst für Technikraum und Dachboden.</w:t>
      </w:r>
    </w:p>
    <w:p/>
    <w:p>
      <w:pPr>
        <w:pStyle w:val="Heading2"/>
      </w:pPr>
      <w:r>
        <w:rPr>
          <w:rFonts w:ascii="Times New Roman" w:hAnsi="Times New Roman"/>
        </w:rPr>
        <w:t>4. Versicherungsunterlagen und Unterlagen des Schuldners</w:t>
      </w:r>
    </w:p>
    <w:p>
      <w:pPr>
        <w:jc w:val="left"/>
      </w:pPr>
      <w:r>
        <w:t xml:space="preserve">Vor Ort wurden </w:t>
      </w:r>
      <w:r>
        <w:rPr>
          <w:b/>
        </w:rPr>
        <w:t>keine</w:t>
      </w:r>
      <w:r>
        <w:t xml:space="preserve"> Versicherungsscheine, Wartungsverträge, Betriebskostenabrechnungen oder Mietverträge vorgefunden. Die Hausmeisterin Karin Lehmann verfügt über:</w:t>
      </w:r>
    </w:p>
    <w:p>
      <w:pPr>
        <w:pStyle w:val="ListBullet"/>
      </w:pPr>
      <w:r>
        <w:t>Telefonliste der Mieter (übergeben, vgl. Anlage A)</w:t>
      </w:r>
    </w:p>
    <w:p>
      <w:pPr>
        <w:pStyle w:val="ListBullet"/>
      </w:pPr>
      <w:r>
        <w:t>Hausmeistertagebuch (letzter Eintrag 14.03.2026)</w:t>
      </w:r>
    </w:p>
    <w:p>
      <w:pPr>
        <w:jc w:val="left"/>
      </w:pPr>
      <w:r>
        <w:t>Alle weiteren Unterlagen wurden per Schreiben vom 07.05.2026 beim Schuldner Markus Feldmann angefordert (Frist: 14.05.2026).</w:t>
      </w:r>
    </w:p>
    <w:p/>
    <w:p>
      <w:pPr>
        <w:pStyle w:val="Heading2"/>
      </w:pPr>
      <w:r>
        <w:rPr>
          <w:rFonts w:ascii="Times New Roman" w:hAnsi="Times New Roman"/>
        </w:rPr>
        <w:t>5. Energieversorgung und laufende Verträge</w:t>
      </w:r>
    </w:p>
    <w:p>
      <w:pPr>
        <w:pStyle w:val="ListBullet"/>
      </w:pPr>
      <w:r>
        <w:rPr>
          <w:b/>
        </w:rPr>
        <w:t>Gas:</w:t>
      </w:r>
      <w:r>
        <w:t xml:space="preserve"> Stadtwerke Leipzig, Kundennummer noch zu ermitteln. Abschlagsrechnung Mai 2026: 2.800 EUR (Abschlag, monatlich). Zahlung durch Vorschuss erfolgt am 12.05.2026.</w:t>
      </w:r>
    </w:p>
    <w:p>
      <w:pPr>
        <w:pStyle w:val="ListBullet"/>
      </w:pPr>
      <w:r>
        <w:rPr>
          <w:b/>
        </w:rPr>
        <w:t>Strom Allgemeinstrom:</w:t>
      </w:r>
      <w:r>
        <w:t xml:space="preserve"> eins energie in Sachsen GmbH &amp; Co. KG, Monatsbetrag ca. 390 EUR.</w:t>
      </w:r>
    </w:p>
    <w:p>
      <w:pPr>
        <w:pStyle w:val="ListBullet"/>
      </w:pPr>
      <w:r>
        <w:rPr>
          <w:b/>
        </w:rPr>
        <w:t>Abfallentsorgung:</w:t>
      </w:r>
      <w:r>
        <w:t xml:space="preserve"> Stadtreinigung Leipzig, Jahresgebühr ca. 1.240 EUR (fällig quartalsweise).</w:t>
      </w:r>
    </w:p>
    <w:p>
      <w:pPr>
        <w:pStyle w:val="ListBullet"/>
      </w:pPr>
      <w:r>
        <w:rPr>
          <w:b/>
        </w:rPr>
        <w:t>Gebäudeversicherung:</w:t>
      </w:r>
      <w:r>
        <w:t xml:space="preserve"> Leipziger Feuerkasse, Police noch zu verifizieren (vgl. Dok. 06).</w:t>
      </w:r>
    </w:p>
    <w:p>
      <w:pPr>
        <w:pStyle w:val="ListBullet"/>
      </w:pPr>
      <w:r>
        <w:rPr>
          <w:b/>
        </w:rPr>
        <w:t>Hausmeistervertrag:</w:t>
      </w:r>
      <w:r>
        <w:t xml:space="preserve"> Karin Lehmann, 600 EUR monatlich (Pauschale inkl. Winterdienst), Vertrag soll vorgelegt werden.</w:t>
      </w:r>
    </w:p>
    <w:p/>
    <w:p>
      <w:pPr>
        <w:pStyle w:val="Heading2"/>
      </w:pPr>
      <w:r>
        <w:rPr>
          <w:rFonts w:ascii="Times New Roman" w:hAnsi="Times New Roman"/>
        </w:rPr>
        <w:t>6. Bewertungseinschätzung</w:t>
      </w:r>
    </w:p>
    <w:p>
      <w:pPr>
        <w:jc w:val="left"/>
      </w:pPr>
      <w:r>
        <w:t>Eine förmliche Verkehrswertermittlung ist im Rahmen der Zwangsverwaltung nicht zwingend erforderlich, aber für die Jahresrechnung und den Verteilungsplan relevant. Der Sachverständige Pappe schätzt den Verkehrswert (grob, ohne Gutachtenauftrag) auf:</w:t>
      </w:r>
    </w:p>
    <w:p>
      <w:pPr>
        <w:pStyle w:val="ListBullet"/>
      </w:pPr>
      <w:r>
        <w:t xml:space="preserve">Ertragswert bei vollvermieteter Sollist: ca. </w:t>
      </w:r>
      <w:r>
        <w:rPr>
          <w:b/>
        </w:rPr>
        <w:t>1,12 Mio. EUR</w:t>
      </w:r>
    </w:p>
    <w:p>
      <w:pPr>
        <w:pStyle w:val="ListBullet"/>
      </w:pPr>
      <w:r>
        <w:t>Abzüge für Leerstand und Sanierungsbedarf: ca. −15 %</w:t>
      </w:r>
    </w:p>
    <w:p>
      <w:pPr>
        <w:pStyle w:val="ListBullet"/>
      </w:pPr>
      <w:r>
        <w:rPr>
          <w:b/>
        </w:rPr>
        <w:t>Orientierungswert: ca. 950.000 – 1.000.000 EUR</w:t>
      </w:r>
    </w:p>
    <w:p>
      <w:pPr>
        <w:jc w:val="left"/>
      </w:pPr>
      <w:r>
        <w:t>Dieser Wert wird dem Gericht nicht als Gutachten übermittelt; er dient ausschließlich der internen Planung.</w:t>
      </w:r>
    </w:p>
    <w:p/>
    <w:p>
      <w:pPr>
        <w:pStyle w:val="Heading2"/>
      </w:pPr>
      <w:r>
        <w:rPr>
          <w:rFonts w:ascii="Times New Roman" w:hAnsi="Times New Roman"/>
        </w:rPr>
        <w:t>7. Nächste Schritte</w:t>
      </w:r>
    </w:p>
    <w:p>
      <w:pPr>
        <w:pStyle w:val="ListBullet"/>
      </w:pPr>
      <w:r>
        <w:t>[ ] Schlüsselanforderung und ggf. Schlüsseldienst Technikraum/Dach</w:t>
      </w:r>
    </w:p>
    <w:p>
      <w:pPr>
        <w:pStyle w:val="ListBullet"/>
      </w:pPr>
      <w:r>
        <w:t>[ ] Leckortungsauftrag Keller (→ Dok. 07)</w:t>
      </w:r>
    </w:p>
    <w:p>
      <w:pPr>
        <w:pStyle w:val="ListBullet"/>
      </w:pPr>
      <w:r>
        <w:t>[ ] Mieteranschreiben (→ Mieterinformation DOCX)</w:t>
      </w:r>
    </w:p>
    <w:p>
      <w:pPr>
        <w:pStyle w:val="ListBullet"/>
      </w:pPr>
      <w:r>
        <w:t>[ ] Versicherungsklärung (→ Dok. 06)</w:t>
      </w:r>
    </w:p>
    <w:p>
      <w:pPr>
        <w:pStyle w:val="ListBullet"/>
      </w:pPr>
      <w:r>
        <w:t>[ ] Wartungsauftrag Heizung</w:t>
      </w:r>
    </w:p>
    <w:p>
      <w:pPr>
        <w:pStyle w:val="ListBullet"/>
      </w:pPr>
      <w:r>
        <w:t>[ ] Besitzerlangungsbericht ans AG (→ Dok. 10)</w:t>
      </w:r>
    </w:p>
    <w:p/>
    <w:p>
      <w:pPr>
        <w:jc w:val="left"/>
      </w:pPr>
      <w:r>
        <w:rPr>
          <w:b/>
        </w:rPr>
        <w:t>Anlagen:</w:t>
      </w:r>
    </w:p>
    <w:p>
      <w:pPr>
        <w:pStyle w:val="ListBullet"/>
      </w:pPr>
      <w:r>
        <w:t>Anlage A: Mieterliste mit Kontaktdaten (intern, nicht für Gericht)</w:t>
      </w:r>
    </w:p>
    <w:p>
      <w:pPr>
        <w:pStyle w:val="ListBullet"/>
      </w:pPr>
      <w:r>
        <w:t>Anlage B: Fotodokumentation Keller (12 Aufnahmen, 07.05.2026)</w:t>
      </w:r>
    </w:p>
    <w:p>
      <w:pPr>
        <w:pStyle w:val="ListBullet"/>
      </w:pPr>
      <w:r>
        <w:t>Anlage C: Fotodokumentation Dachrinne und Balkon (5 Aufnahmen)</w:t>
      </w:r>
    </w:p>
    <w:p>
      <w:pPr>
        <w:pStyle w:val="ListBullet"/>
      </w:pPr>
      <w:r>
        <w:t>Anlage D: Hausmeistertagebuch Kopie (Seiten 1–8)</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Julia Renner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RECHTSANWÄLTIN JULIA RENNER</w:t>
    </w:r>
  </w:p>
  <w:p>
    <w:pPr>
      <w:jc w:val="left"/>
      <w:pBdr>
        <w:bottom w:val="single" w:sz="8" w:space="2" w:color="2C5230"/>
      </w:pBdr>
    </w:pPr>
    <w:r>
      <w:rPr>
        <w:rFonts w:ascii="Times New Roman" w:hAnsi="Times New Roman"/>
        <w:color w:val="6B6B66"/>
        <w:sz w:val="16"/>
      </w:rPr>
      <w:t>Zwangsverwalterin · Aktenzeichen: 76 L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