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Vermögensauskunft — Termin Gerichtsvollzieherin § 802c ZPO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GV-AZ:</w:t>
      </w:r>
      <w:r>
        <w:t xml:space="preserve"> 2026-188-DR/04711</w:t>
      </w:r>
    </w:p>
    <w:p>
      <w:pPr>
        <w:jc w:val="left"/>
      </w:pPr>
      <w:r>
        <w:rPr>
          <w:b/>
        </w:rPr>
        <w:t>Termin Vermögensauskunft:</w:t>
      </w:r>
      <w:r>
        <w:t xml:space="preserve"> 04.02.2026, 10:00 Uhr, GV-Büro Sieveking-Allee 10 Hamburg</w:t>
      </w:r>
    </w:p>
    <w:p/>
    <w:p>
      <w:pPr>
        <w:pStyle w:val="Heading2"/>
      </w:pPr>
      <w:r>
        <w:rPr>
          <w:rFonts w:ascii="Times New Roman" w:hAnsi="Times New Roman"/>
        </w:rPr>
        <w:t>Rechtsgrundlagen</w:t>
      </w:r>
    </w:p>
    <w:p>
      <w:pPr>
        <w:pStyle w:val="ListBullet"/>
      </w:pPr>
      <w:r>
        <w:t>§ 802a ZPO: Grundsatz der Vollstreckungshilfe durch GV</w:t>
      </w:r>
    </w:p>
    <w:p>
      <w:pPr>
        <w:pStyle w:val="ListBullet"/>
      </w:pPr>
      <w:r>
        <w:t>§ 802b ZPO: Gütliche Erledignung (GV kann Ratenzahlung vorschlagen, max. 12 Monate)</w:t>
      </w:r>
    </w:p>
    <w:p>
      <w:pPr>
        <w:pStyle w:val="ListBullet"/>
      </w:pPr>
      <w:r>
        <w:t>§ 802c ZPO: Vermögensauskunft (früherer Offenbarungseid / eidesstattliche Versicherung)</w:t>
      </w:r>
    </w:p>
    <w:p>
      <w:pPr>
        <w:pStyle w:val="ListBullet"/>
      </w:pPr>
      <w:r>
        <w:t>§ 802d ZPO: Eintragung in das Schuldnerverzeichnis (§ 882b ZPO)</w:t>
      </w:r>
    </w:p>
    <w:p>
      <w:pPr>
        <w:pStyle w:val="ListBullet"/>
      </w:pPr>
      <w:r>
        <w:t>§ 882c ZPO: Voraussetzungen Eintragungsanordnung</w:t>
      </w:r>
    </w:p>
    <w:p/>
    <w:p>
      <w:pPr>
        <w:pStyle w:val="Heading2"/>
      </w:pPr>
      <w:r>
        <w:rPr>
          <w:rFonts w:ascii="Times New Roman" w:hAnsi="Times New Roman"/>
        </w:rPr>
        <w:t>Ablauf Termin Vermögensauskunft</w:t>
      </w:r>
    </w:p>
    <w:p>
      <w:pPr>
        <w:pStyle w:val="Heading3"/>
      </w:pPr>
      <w:r>
        <w:rPr>
          <w:rFonts w:ascii="Times New Roman" w:hAnsi="Times New Roman"/>
        </w:rPr>
        <w:t>Vorlauf</w:t>
      </w:r>
    </w:p>
    <w:p>
      <w:pPr>
        <w:jc w:val="left"/>
      </w:pPr>
      <w:r>
        <w:t>Der GV Lattermann hat beiden Schuldnern den Termin zur Abgabe der Vermögensauskunft unter Fristsetzung gemäß § 802f ZPO gesondert zugestellt.</w:t>
      </w:r>
    </w:p>
    <w:p>
      <w:pPr>
        <w:jc w:val="left"/>
      </w:pPr>
      <w:r>
        <w:rPr>
          <w:b/>
        </w:rPr>
        <w:t>Ladung Heinrich Pohlmann-Tannenberg:</w:t>
      </w:r>
      <w:r>
        <w:t xml:space="preserve"> Per Postzustellung vom 15.01.2026 für 04.02.2026</w:t>
      </w:r>
    </w:p>
    <w:p>
      <w:pPr>
        <w:jc w:val="left"/>
      </w:pPr>
      <w:r>
        <w:rPr>
          <w:b/>
        </w:rPr>
        <w:t>Ladung Carmen Pohlmann-Tannenberg:</w:t>
      </w:r>
      <w:r>
        <w:t xml:space="preserve"> Per Postzustellung vom 15.01.2026 für 04.02.2026</w:t>
      </w:r>
    </w:p>
    <w:p>
      <w:pPr>
        <w:pStyle w:val="Heading3"/>
      </w:pPr>
      <w:r>
        <w:rPr>
          <w:rFonts w:ascii="Times New Roman" w:hAnsi="Times New Roman"/>
        </w:rPr>
        <w:t>Inhalt der Vermögensauskunft § 802c ZPO</w:t>
      </w:r>
    </w:p>
    <w:p>
      <w:pPr>
        <w:jc w:val="left"/>
      </w:pPr>
      <w:r>
        <w:t>Der Schuldner hat ein vollständiges Vermögensverzeichnis vorzulegen (standardisiertes Formular GV-100 gemäß § 802c Abs. 2 ZPO i.V.m. VO vom 26.07.2012):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Offenzulegen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Arbeitseinkommen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Arbeitgeber, Höhe, Zahlungsintervall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Selbstständiges Einkommen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Auftraggeber, Durchschnittseinkommen letzter 12 Monate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Immobilien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Eigentümer? Nein (Mietwohnung)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Fahrzeuge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Pkw auf Heinrich: Transporter VW Crafter 2017 (Gewerbefahrzeug)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 Konten, IBAN, aktueller Stand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Aussenstaende Heinrich (Handwerkerleistungen)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Lebensversicherungen, Kapitalanlagen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Unterhaltspflichten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Tochter Hilde, Ehegattenunterhalt (zwischen Eheleuten)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Strategische Bedeutung für Vollstreckung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Erkenntnisziel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Vollstreckungsschluss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Gewerbe-Einnahmen Heinrich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Unpfändbar? Pfändbar in Grenzen §§ 850a, 850b ZPO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VW Crafter (Gewerbefahrzeug)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Pfändung möglich, aber § 811 Abs. 1 Nr. 5 ZPO (Berufsausübung) prüfen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Aussenstaende Handwerk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Pfändung als Forderung möglich (PfUEB gegen Auftraggeber)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Kapitallebensversicherung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Rückkaufswert pfändbar gemäß § 850b ZPO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Nichterscheinen — Konsequenzen</w:t>
      </w:r>
    </w:p>
    <w:p>
      <w:pPr>
        <w:jc w:val="left"/>
      </w:pPr>
      <w:r>
        <w:t>Erscheint ein Schuldner nicht:</w:t>
      </w:r>
    </w:p>
    <w:p>
      <w:pPr>
        <w:pStyle w:val="ListNumber"/>
      </w:pPr>
      <w:r>
        <w:t>GV kann Haftbefehl zur Erzwingungshaft beantragen (§ 802g ZPO) — bis zu 6 Monate</w:t>
      </w:r>
    </w:p>
    <w:p>
      <w:pPr>
        <w:pStyle w:val="ListNumber"/>
      </w:pPr>
      <w:r>
        <w:t>Eintragung im Schuldnerverzeichnis auch bei Nichterscheinen (§ 882c Abs. 1 Nr. 1 ZPO)</w:t>
      </w:r>
    </w:p>
    <w:p/>
    <w:p>
      <w:pPr>
        <w:pStyle w:val="Heading2"/>
      </w:pPr>
      <w:r>
        <w:rPr>
          <w:rFonts w:ascii="Times New Roman" w:hAnsi="Times New Roman"/>
        </w:rPr>
        <w:t>Gütliche Einigung § 802b ZPO</w:t>
      </w:r>
    </w:p>
    <w:p>
      <w:pPr>
        <w:jc w:val="left"/>
      </w:pPr>
      <w:r>
        <w:t xml:space="preserve">GV wird laut Mandat beauftragt, eine gütliche Ratenzahlungsvereinbarung </w:t>
      </w:r>
      <w:r>
        <w:rPr>
          <w:b/>
        </w:rPr>
        <w:t>nur</w:t>
      </w:r>
      <w:r>
        <w:t xml:space="preserve"> anzubieten, wenn Schuldner folgendes akzeptieren:</w:t>
      </w:r>
    </w:p>
    <w:p>
      <w:pPr>
        <w:pStyle w:val="ListBullet"/>
      </w:pPr>
      <w:r>
        <w:t>Sofortige Raeumung der Wohnung (spätestens 28.02.2026)</w:t>
      </w:r>
    </w:p>
    <w:p>
      <w:pPr>
        <w:pStyle w:val="ListBullet"/>
      </w:pPr>
      <w:r>
        <w:t>Ratenzahlung mindestens 500 EUR/Monat (aus Lohn Carmen)</w:t>
      </w:r>
    </w:p>
    <w:p>
      <w:pPr>
        <w:pStyle w:val="ListBullet"/>
      </w:pPr>
      <w:r>
        <w:t>Keine weiteren Einwände oder Schutzanträge</w:t>
      </w:r>
    </w:p>
    <w:p>
      <w:pPr>
        <w:jc w:val="left"/>
      </w:pPr>
      <w:r>
        <w:rPr>
          <w:b/>
        </w:rPr>
        <w:t>Falls keine gütliche Einigung:</w:t>
      </w:r>
      <w:r>
        <w:t xml:space="preserve"> GV soll direkt Eintragung in Schuldnerverzeichnis veranlassen und Bericht erstatten.</w:t>
      </w:r>
    </w:p>
    <w:p/>
    <w:p>
      <w:pPr>
        <w:pStyle w:val="Heading2"/>
      </w:pPr>
      <w:r>
        <w:rPr>
          <w:rFonts w:ascii="Times New Roman" w:hAnsi="Times New Roman"/>
        </w:rPr>
        <w:t>Ergebnisvermerk nach Termin (Eintrag offen — Termin noch ausstehend)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Schuldner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Erschienen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Auskunft erteilt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Besonderheiten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Heinrich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Ergebnis folgt 04.02.2026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Ergebnis folgt 04.02.2026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Schuldnerverzeichnis-Eintrag § 882b ZPO</w:t>
      </w:r>
    </w:p>
    <w:p>
      <w:pPr>
        <w:jc w:val="left"/>
      </w:pPr>
      <w:r>
        <w:t>Nach erfolgloser Vollstreckung / Nichterscheinen wird GV Lattermann Eintragungsanordnung nach § 882c ZPO veranlassen. Löschung nach 3 Jahren (§ 882e ZPO) oder wenn Forderung befriedigt.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07 Vermögensauskunft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07 Vermögensauskunft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