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Konturfeld Architektur PartG mbB</w:t>
      </w:r>
    </w:p>
    <w:p>
      <w:r>
        <w:t>Planerhof 12, 31134 Hildesheim</w:t>
        <w:br/>
        <w:t>projekt@konturfeld.example</w:t>
      </w:r>
    </w:p>
    <w:p>
      <w:r>
        <w:t>Steinbogen Wohnen GmbH</w:t>
        <w:br/>
        <w:t>Wohnhof Am Steinbogen 18, 31134 Hildesheim</w:t>
      </w:r>
    </w:p>
    <w:p>
      <w:r>
        <w:t>Hildesheim, 04.12.2026 · SW-HI-26-08</w:t>
      </w:r>
    </w:p>
    <w:p>
      <w:pPr>
        <w:pStyle w:val="Title"/>
      </w:pPr>
      <w:r>
        <w:t>Variantenentscheidung für das Achtfamilienhaus</w:t>
      </w:r>
    </w:p>
    <w:p>
      <w:r>
        <w:t>Für den nächsten Planungsschritt empfehlen wir Variante 2 mit einem zentralen Erschließungskern und einem im Süden zurückgesetzten obersten Geschoss. Die Empfehlung berücksichtigt das Bedarfsprogramm, den Baugrundbefund vom 16. November 2026 und die Investitionsobergrenze. Eine behördliche Zulässigkeitsentscheidung ist damit noch nicht verbunden.</w:t>
      </w:r>
    </w:p>
    <w:p>
      <w:pPr>
        <w:pStyle w:val="Heading1"/>
      </w:pPr>
      <w:r>
        <w:t>1 Vergleichsgrundlage</w:t>
      </w:r>
    </w:p>
    <w:p>
      <w:r>
        <w:t>Alle Varianten enthalten acht Wohnungen, den Aufzug mit drei Halten und die vorgesehenen Außenanlagen. Die Grundstückskosten und Finanzierungskosten werden im Vergleich unverändert behandelt. Die technische Ausrüstung wird einheitlich mit Wärmepumpe und Photovoltaik angesetzt. Ein Vergleich, der bei einer Variante den Aufzug oder die erforderlichen Bewegungsflächen wegließe, würde die Entscheidungsgrundlage verzerren.</w:t>
      </w:r>
    </w:p>
    <w:p>
      <w:pPr>
        <w:pStyle w:val="Heading1"/>
      </w:pPr>
      <w:r>
        <w:t>2 Varianten</w:t>
      </w:r>
    </w:p>
    <w:p>
      <w:r>
        <w:t>Variante 1 bildet drei Geschosse über der vollständigen Grundfläche von 20,00 m × 15,00 m ab. Die Brutto-Grundfläche beträgt 900 m². Die zusätzliche Fläche verbessert Abstellmöglichkeiten, führt aber zu einem größeren Baukörper als für das Wohnflächenprogramm erforderlich. Gegenüber der bevorzugten Variante entstehen 80 m² zusätzliche Brutto-Grundfläche. Die Einfügung der südlichen Fassadenflucht wäre vertieft abzustimmen.</w:t>
      </w:r>
    </w:p>
    <w:p>
      <w:r>
        <w:t>Variante 2 ordnet Erdgeschoss und erstes Obergeschoss auf jeweils 20,00 m × 15,00 m an. Das zweite Obergeschoss misst 20,00 m × 11,00 m und ist an der Südseite um 4,00 m zurückgesetzt. Die Brutto-Grundfläche beträgt 820 m². Die Wohnungen des obersten Geschosses erhalten keine begehbare Dachterrasse auf der Rücksprungfläche. Das vereinfacht Abdichtung, Nutzung und Flächenberechnung. Drei Vollgeschosse werden der weiteren Planung zugrunde gelegt.</w:t>
      </w:r>
    </w:p>
    <w:p>
      <w:r>
        <w:t>Variante 3 verteilt die Wohnungen auf zwei Häuser mit vier Wohnungen. Sie erfordert zwei Treppenräume und eine zweite vertikale Erschließung oder verändert das Erreichbarkeitsprogramm. Zugleich werden Leitungswege und Fassadenanteile größer. Der Vorteil einer kleineren Einzelkubatur rechtfertigt für die Bauherrin derzeit nicht die zusätzlichen Erschließungsflächen.</w:t>
      </w:r>
    </w:p>
    <w:p>
      <w:pPr>
        <w:pStyle w:val="Heading1"/>
      </w:pPr>
      <w:r>
        <w:t>3 Entscheidungsvoraussetzungen</w:t>
      </w:r>
    </w:p>
    <w:p>
      <w:r>
        <w:t>Vor der Entwurfsfreigabe sind die äußere Höhe, die Abstandsflächen, die stufenlose Erreichbarkeit aller Wohnungen und die Entwässerung abzustimmen. Die Kosten werden in der zentralen Kostenfortschreibung geführt. Ein pauschaler Quadratmeterpreis aus einer anderen Gebäudeklasse wird nicht als Kostenberechnung übernommen. Die Entscheidung zugunsten von Variante 2 bleibt bis zur Rückmeldung der Bauaufsicht und der Finanzierung unter dem Vorbehalt, dass keine wesentlichen Hindernisse auftreten.</w:t>
      </w:r>
    </w:p>
    <w:p>
      <w:r>
        <w:t>gez. Nora Feld, Architektin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Variantenentscheidung für das Achtfamilienhaus</dc:title>
  <dc:subject/>
  <dc:creator>Klotzkette</dc:creator>
  <cp:keywords/>
  <dc:description>generated by python-docx</dc:description>
  <cp:lastModifiedBy>Klotzkette</cp:lastModifiedBy>
  <cp:revision>1</cp:revision>
  <dcterms:created xsi:type="dcterms:W3CDTF">2026-12-04T00:00:00Z</dcterms:created>
  <dcterms:modified xsi:type="dcterms:W3CDTF">2026-12-04T00:00:00Z</dcterms:modified>
  <cp:category/>
  <dc:language>de-DE</dc:language>
</cp:coreProperties>
</file>