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Stadt Hildesheim, Bauaufsicht</w:t>
        <w:br/>
        <w:t>Markt 3, 31134 Hildesheim</w:t>
      </w:r>
    </w:p>
    <w:p>
      <w:r>
        <w:t>Hildesheim, 03.05.2027 · SW-HI-26-08</w:t>
      </w:r>
    </w:p>
    <w:p>
      <w:pPr>
        <w:pStyle w:val="Title"/>
      </w:pPr>
      <w:r>
        <w:t>Konzept für Rettungswege und barrierefreie Nutzung</w:t>
      </w:r>
    </w:p>
    <w:p>
      <w:r>
        <w:t>Das Konzept gehört zum Bauantrag für acht Wohnungen. Die Ausführungsplanung konkretisiert Bauteilqualitäten, Anschlüsse und lichte Maße. Widersprüche zwischen Fachbeiträgen sind vor Bauteilfreigabe zu bereinigen.</w:t>
      </w:r>
    </w:p>
    <w:p>
      <w:pPr>
        <w:pStyle w:val="Heading1"/>
      </w:pPr>
      <w:r>
        <w:t>1 Gebäude und Rettungswege</w:t>
      </w:r>
    </w:p>
    <w:p>
      <w:r>
        <w:t>Das Gebäude hat drei oberirdische Vollgeschosse. Der Fußboden des höchstgelegenen Aufenthaltsraums liegt 6,20 m über dem festgelegten Bezugsgelände. Acht eigenständige Wohnungen mit jeweils weniger als 400 m² werden vorgesehen. Der Bauantrag ordnet das Vorhaben der Gebäudeklasse 3 zu. Der erste Rettungsweg führt aus jeder Wohnung über den notwendigen Treppenraum ins Freie.</w:t>
      </w:r>
    </w:p>
    <w:p>
      <w:r>
        <w:t>Der zweite Rettungsweg wird für die oberen Wohnungen über anleiterbare Fensterflächen an der nördlichen beziehungsweise seitlichen Fassade vorgesehen. Die zugehörigen Anleiterstellen und der Zugang sind im Lageplan markiert und dauerhaft freizuhalten. Die konkrete Erreichbarkeit und die Anleiterbarkeit der Fenster sind im Zuge der Genehmigungsbearbeitung abzustimmen. Die Fensterabmessungen und Brüstungshöhen werden im Ausführungsplan dokumentiert. Ein Aufzug ersetzt keinen Rettungsweg.</w:t>
      </w:r>
    </w:p>
    <w:p>
      <w:pPr>
        <w:pStyle w:val="Heading1"/>
      </w:pPr>
      <w:r>
        <w:t>2 Bauliche Maßnahmen</w:t>
      </w:r>
    </w:p>
    <w:p>
      <w:r>
        <w:t>Tragende und aussteifende Bauteile sowie Decken werden in der für die Gebäudeklasse nachgewiesenen Qualität geplant. Trennbauteile zwischen Wohnungen, Treppenraumabschlüsse und Leitungsdurchführungen sind mit den jeweiligen Nachweisen abzustimmen. Ein allgemeiner Produktprospekt gilt nicht als Nachweis für einen bestimmten Einbau. Das Leitungs- und Abschottungskonzept wird vor Beginn der Rohinstallation in einer gemeinsamen Planrunde geprüft.</w:t>
      </w:r>
    </w:p>
    <w:p>
      <w:pPr>
        <w:pStyle w:val="Heading1"/>
      </w:pPr>
      <w:r>
        <w:t>3 Barrierefreie Wohnungen</w:t>
      </w:r>
    </w:p>
    <w:p>
      <w:r>
        <w:t>Alle acht Wohnungen werden barrierefrei gestaltet und über stufenlose Wege und den Aufzug erreicht. WE 01 wird zusätzlich rollstuhlgerecht ausgeführt. Dort werden insbesondere 1,50 m × 1,50 m Bewegungsflächen, nutzbare Türanfahrbereiche und die Vorbereitung von Haltegriffen berücksichtigt. Die maßgeblichen lichten Maße sind vor Bestellung der Türen und Sanitärobjekte zu prüfen. Möblierung darf die freien Bewegungsflächen nicht unterschreiten.</w:t>
      </w:r>
    </w:p>
    <w:p>
      <w:pPr>
        <w:pStyle w:val="Heading1"/>
      </w:pPr>
      <w:r>
        <w:t>4 Außenraum und Betrieb</w:t>
      </w:r>
    </w:p>
    <w:p>
      <w:r>
        <w:t>Der gekennzeichnete barrierefreie Pkw-Stellplatz wird nahe dem Hauseingang angeordnet und mit einem stufenlosen Zugang verbunden. 16 gesicherte Fahrradplätze und vier Besucherplätze werden ausgewiesen. Der Spielbereich liegt abseits der Zufahrt. Im späteren Betrieb müssen Rettungswege, Anleiterstellen und Bewegungsflächen frei bleiben; Abstellnutzungen des Treppenraums sind nicht in das Raumprogramm eingerechnet.</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für Rettungswege und barrierefreie Nutzung</dc:title>
  <dc:subject/>
  <dc:creator>Klotzkette</dc:creator>
  <cp:keywords/>
  <dc:description>generated by python-docx</dc:description>
  <cp:lastModifiedBy>Klotzkette</cp:lastModifiedBy>
  <cp:revision>1</cp:revision>
  <dcterms:created xsi:type="dcterms:W3CDTF">2027-05-03T00:00:00Z</dcterms:created>
  <dcterms:modified xsi:type="dcterms:W3CDTF">2027-05-03T00:00:00Z</dcterms:modified>
  <cp:category/>
  <dc:language>de-DE</dc:language>
</cp:coreProperties>
</file>