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Konturfeld Architektur PartG mbB</w:t>
      </w:r>
    </w:p>
    <w:p>
      <w:r>
        <w:t>Planerhof 12, 31134 Hildesheim</w:t>
        <w:br/>
        <w:t>projekt@konturfeld.example</w:t>
      </w:r>
    </w:p>
    <w:p>
      <w:r>
        <w:t>Steinbogen Wohnen GmbH</w:t>
        <w:br/>
        <w:t>Wohnhof Am Steinbogen 18, 31134 Hildesheim</w:t>
      </w:r>
    </w:p>
    <w:p>
      <w:r>
        <w:t>Hildesheim, 01.10.2027 · SW-HI-26-08</w:t>
      </w:r>
    </w:p>
    <w:p>
      <w:pPr>
        <w:pStyle w:val="Title"/>
      </w:pPr>
      <w:r>
        <w:t>Vergabetermine und Schnittstellen der sieben Bauaufträge</w:t>
      </w:r>
    </w:p>
    <w:p>
      <w:r>
        <w:t>Die Ausführungsplanung liegt im freigegebenen Stand vom 24.09.2027 vor. Wir schlagen eine private Einzelvergabe in sieben Losen vor. Die Bauherrin finanziert das Gebäude aus Eigenkapital und Bankdarlehen. Förderbescheide oder besondere vergaberechtliche Verpflichtungen wurden uns nicht vorgelegt. Die Bauherrin entscheidet über jeden Vertrag selbst.</w:t>
      </w:r>
    </w:p>
    <w:p>
      <w:pPr>
        <w:pStyle w:val="Heading1"/>
      </w:pPr>
      <w:r>
        <w:t>1 Termine und Verantwortliche</w:t>
      </w:r>
    </w:p>
    <w:tbl>
      <w:tblPr>
        <w:tblStyle w:val="TableGrid"/>
        <w:tblW w:type="auto" w:w="0"/>
        <w:tblLook w:firstColumn="1" w:firstRow="1" w:lastColumn="0" w:lastRow="0" w:noHBand="0" w:noVBand="1" w:val="04A0"/>
      </w:tblPr>
      <w:tblGrid>
        <w:gridCol w:w="3289"/>
        <w:gridCol w:w="3289"/>
        <w:gridCol w:w="3289"/>
      </w:tblGrid>
      <w:tr>
        <w:trPr>
          <w:cantSplit/>
          <w:tblHeader/>
        </w:trPr>
        <w:tc>
          <w:tcPr>
            <w:tcW w:type="dxa" w:w="3289"/>
          </w:tcPr>
          <w:p>
            <w:r>
              <w:rPr>
                <w:b/>
                <w:sz w:val="20"/>
              </w:rPr>
              <w:t>Vorgang</w:t>
            </w:r>
          </w:p>
        </w:tc>
        <w:tc>
          <w:tcPr>
            <w:tcW w:type="dxa" w:w="3289"/>
          </w:tcPr>
          <w:p>
            <w:r>
              <w:rPr>
                <w:b/>
                <w:sz w:val="20"/>
              </w:rPr>
              <w:t>Termin</w:t>
            </w:r>
          </w:p>
        </w:tc>
        <w:tc>
          <w:tcPr>
            <w:tcW w:type="dxa" w:w="3289"/>
          </w:tcPr>
          <w:p>
            <w:r>
              <w:rPr>
                <w:b/>
                <w:sz w:val="20"/>
              </w:rPr>
              <w:t>Verantwortlich</w:t>
            </w:r>
          </w:p>
        </w:tc>
      </w:tr>
      <w:tr>
        <w:trPr>
          <w:cantSplit/>
        </w:trPr>
        <w:tc>
          <w:tcPr>
            <w:tcW w:type="dxa" w:w="3289"/>
          </w:tcPr>
          <w:p>
            <w:r>
              <w:rPr>
                <w:b w:val="0"/>
                <w:sz w:val="20"/>
              </w:rPr>
              <w:t>Versand des vollständigen LV</w:t>
            </w:r>
          </w:p>
        </w:tc>
        <w:tc>
          <w:tcPr>
            <w:tcW w:type="dxa" w:w="3289"/>
          </w:tcPr>
          <w:p>
            <w:r>
              <w:rPr>
                <w:b w:val="0"/>
                <w:sz w:val="20"/>
              </w:rPr>
              <w:t>04.10.2027</w:t>
            </w:r>
          </w:p>
        </w:tc>
        <w:tc>
          <w:tcPr>
            <w:tcW w:type="dxa" w:w="3289"/>
          </w:tcPr>
          <w:p>
            <w:r>
              <w:rPr>
                <w:b w:val="0"/>
                <w:sz w:val="20"/>
              </w:rPr>
              <w:t>Nora Feld</w:t>
            </w:r>
          </w:p>
        </w:tc>
      </w:tr>
      <w:tr>
        <w:trPr>
          <w:cantSplit/>
        </w:trPr>
        <w:tc>
          <w:tcPr>
            <w:tcW w:type="dxa" w:w="3289"/>
          </w:tcPr>
          <w:p>
            <w:r>
              <w:rPr>
                <w:b w:val="0"/>
                <w:sz w:val="20"/>
              </w:rPr>
              <w:t>Fragen bis / gemeinsame Antwort</w:t>
            </w:r>
          </w:p>
        </w:tc>
        <w:tc>
          <w:tcPr>
            <w:tcW w:type="dxa" w:w="3289"/>
          </w:tcPr>
          <w:p>
            <w:r>
              <w:rPr>
                <w:b w:val="0"/>
                <w:sz w:val="20"/>
              </w:rPr>
              <w:t>18.10. / 22.10.2027</w:t>
            </w:r>
          </w:p>
        </w:tc>
        <w:tc>
          <w:tcPr>
            <w:tcW w:type="dxa" w:w="3289"/>
          </w:tcPr>
          <w:p>
            <w:r>
              <w:rPr>
                <w:b w:val="0"/>
                <w:sz w:val="20"/>
              </w:rPr>
              <w:t>Fachplaner und Architektur</w:t>
            </w:r>
          </w:p>
        </w:tc>
      </w:tr>
      <w:tr>
        <w:trPr>
          <w:cantSplit/>
        </w:trPr>
        <w:tc>
          <w:tcPr>
            <w:tcW w:type="dxa" w:w="3289"/>
          </w:tcPr>
          <w:p>
            <w:r>
              <w:rPr>
                <w:b w:val="0"/>
                <w:sz w:val="20"/>
              </w:rPr>
              <w:t>Angebotseingang</w:t>
            </w:r>
          </w:p>
        </w:tc>
        <w:tc>
          <w:tcPr>
            <w:tcW w:type="dxa" w:w="3289"/>
          </w:tcPr>
          <w:p>
            <w:r>
              <w:rPr>
                <w:b w:val="0"/>
                <w:sz w:val="20"/>
              </w:rPr>
              <w:t>29.10.2027</w:t>
            </w:r>
          </w:p>
        </w:tc>
        <w:tc>
          <w:tcPr>
            <w:tcW w:type="dxa" w:w="3289"/>
          </w:tcPr>
          <w:p>
            <w:r>
              <w:rPr>
                <w:b w:val="0"/>
                <w:sz w:val="20"/>
              </w:rPr>
              <w:t>Maren Birk</w:t>
            </w:r>
          </w:p>
        </w:tc>
      </w:tr>
      <w:tr>
        <w:trPr>
          <w:cantSplit/>
        </w:trPr>
        <w:tc>
          <w:tcPr>
            <w:tcW w:type="dxa" w:w="3289"/>
          </w:tcPr>
          <w:p>
            <w:r>
              <w:rPr>
                <w:b w:val="0"/>
                <w:sz w:val="20"/>
              </w:rPr>
              <w:t>Technische und rechnerische Prüfung</w:t>
            </w:r>
          </w:p>
        </w:tc>
        <w:tc>
          <w:tcPr>
            <w:tcW w:type="dxa" w:w="3289"/>
          </w:tcPr>
          <w:p>
            <w:r>
              <w:rPr>
                <w:b w:val="0"/>
                <w:sz w:val="20"/>
              </w:rPr>
              <w:t>01. bis 05.11.2027</w:t>
            </w:r>
          </w:p>
        </w:tc>
        <w:tc>
          <w:tcPr>
            <w:tcW w:type="dxa" w:w="3289"/>
          </w:tcPr>
          <w:p>
            <w:r>
              <w:rPr>
                <w:b w:val="0"/>
                <w:sz w:val="20"/>
              </w:rPr>
              <w:t>Architektur und TGA</w:t>
            </w:r>
          </w:p>
        </w:tc>
      </w:tr>
      <w:tr>
        <w:trPr>
          <w:cantSplit/>
        </w:trPr>
        <w:tc>
          <w:tcPr>
            <w:tcW w:type="dxa" w:w="3289"/>
          </w:tcPr>
          <w:p>
            <w:r>
              <w:rPr>
                <w:b w:val="0"/>
                <w:sz w:val="20"/>
              </w:rPr>
              <w:t>Verhandlung und Entscheidung</w:t>
            </w:r>
          </w:p>
        </w:tc>
        <w:tc>
          <w:tcPr>
            <w:tcW w:type="dxa" w:w="3289"/>
          </w:tcPr>
          <w:p>
            <w:r>
              <w:rPr>
                <w:b w:val="0"/>
                <w:sz w:val="20"/>
              </w:rPr>
              <w:t>08. bis 10.11.2027</w:t>
            </w:r>
          </w:p>
        </w:tc>
        <w:tc>
          <w:tcPr>
            <w:tcW w:type="dxa" w:w="3289"/>
          </w:tcPr>
          <w:p>
            <w:r>
              <w:rPr>
                <w:b w:val="0"/>
                <w:sz w:val="20"/>
              </w:rPr>
              <w:t>Bauherrin mit Rechtsanwalt</w:t>
            </w:r>
          </w:p>
        </w:tc>
      </w:tr>
      <w:tr>
        <w:trPr>
          <w:cantSplit/>
        </w:trPr>
        <w:tc>
          <w:tcPr>
            <w:tcW w:type="dxa" w:w="3289"/>
          </w:tcPr>
          <w:p>
            <w:r>
              <w:rPr>
                <w:b w:val="0"/>
                <w:sz w:val="20"/>
              </w:rPr>
              <w:t>Vertragsschluss</w:t>
            </w:r>
          </w:p>
        </w:tc>
        <w:tc>
          <w:tcPr>
            <w:tcW w:type="dxa" w:w="3289"/>
          </w:tcPr>
          <w:p>
            <w:r>
              <w:rPr>
                <w:b w:val="0"/>
                <w:sz w:val="20"/>
              </w:rPr>
              <w:t>12.11.2027</w:t>
            </w:r>
          </w:p>
        </w:tc>
        <w:tc>
          <w:tcPr>
            <w:tcW w:type="dxa" w:w="3289"/>
          </w:tcPr>
          <w:p>
            <w:r>
              <w:rPr>
                <w:b w:val="0"/>
                <w:sz w:val="20"/>
              </w:rPr>
              <w:t>Bauherrin und Unternehmen</w:t>
            </w:r>
          </w:p>
        </w:tc>
      </w:tr>
      <w:tr>
        <w:trPr>
          <w:cantSplit/>
        </w:trPr>
        <w:tc>
          <w:tcPr>
            <w:tcW w:type="dxa" w:w="3289"/>
          </w:tcPr>
          <w:p>
            <w:r>
              <w:rPr>
                <w:b w:val="0"/>
                <w:sz w:val="20"/>
              </w:rPr>
              <w:t>Einrichtung / Baubeginn</w:t>
            </w:r>
          </w:p>
        </w:tc>
        <w:tc>
          <w:tcPr>
            <w:tcW w:type="dxa" w:w="3289"/>
          </w:tcPr>
          <w:p>
            <w:r>
              <w:rPr>
                <w:b w:val="0"/>
                <w:sz w:val="20"/>
              </w:rPr>
              <w:t>01.12. / 06.12.2027</w:t>
            </w:r>
          </w:p>
        </w:tc>
        <w:tc>
          <w:tcPr>
            <w:tcW w:type="dxa" w:w="3289"/>
          </w:tcPr>
          <w:p>
            <w:r>
              <w:rPr>
                <w:b w:val="0"/>
                <w:sz w:val="20"/>
              </w:rPr>
              <w:t>Steinwerk Hochbau</w:t>
            </w:r>
          </w:p>
        </w:tc>
      </w:tr>
      <w:tr>
        <w:trPr>
          <w:cantSplit/>
        </w:trPr>
        <w:tc>
          <w:tcPr>
            <w:tcW w:type="dxa" w:w="3289"/>
          </w:tcPr>
          <w:p>
            <w:r>
              <w:rPr>
                <w:b w:val="0"/>
                <w:sz w:val="20"/>
              </w:rPr>
              <w:t>Gemeinsame förmliche Abnahmen</w:t>
            </w:r>
          </w:p>
        </w:tc>
        <w:tc>
          <w:tcPr>
            <w:tcW w:type="dxa" w:w="3289"/>
          </w:tcPr>
          <w:p>
            <w:r>
              <w:rPr>
                <w:b w:val="0"/>
                <w:sz w:val="20"/>
              </w:rPr>
              <w:t>15.09.2028</w:t>
            </w:r>
          </w:p>
        </w:tc>
        <w:tc>
          <w:tcPr>
            <w:tcW w:type="dxa" w:w="3289"/>
          </w:tcPr>
          <w:p>
            <w:r>
              <w:rPr>
                <w:b w:val="0"/>
                <w:sz w:val="20"/>
              </w:rPr>
              <w:t>Bauherrin und Unternehmen</w:t>
            </w:r>
          </w:p>
        </w:tc>
      </w:tr>
    </w:tbl>
    <w:p/>
    <w:p>
      <w:pPr>
        <w:pStyle w:val="Heading1"/>
      </w:pPr>
      <w:r>
        <w:t>2 Unterlagen und Vollmacht</w:t>
      </w:r>
    </w:p>
    <w:p>
      <w:r>
        <w:t>Das Leistungsverzeichnis umfasst die sieben Lose und ihre Schnittstellen. Planstände sind in den Vertragsanlagen bezeichnet. Nachträgliche Bieterantworten werden allen betroffenen Unternehmen im gleichen Wortlaut übermittelt. Frau Feld prüft technische und wirtschaftliche Angaben und erstellt den Vergabevorschlag. Sie erhält keine Abschlussvollmacht. Die rechtliche Vertragsgestaltung erfolgt aufgrund des unmittelbaren Mandats der Bauherrin durch die Kanzlei Leinebogen.</w:t>
      </w:r>
    </w:p>
    <w:p>
      <w:r>
        <w:t>Die Rohbaufirma stellt das Gerüst für ihren eigenen Leistungsumfang. Fassadenarbeiten und dafür benötigte Gerüste verbleiben im Hüllenlos. PV-Befestigung, Dachabdichtung und Leitungsdurchführungen sind vor Ausführung gemeinsam freizugeben. Ein niedriger Angebotspreis ersetzt den Nachweis der vollständigen Leistung und der personellen Verfügbarkeit nicht.</w:t>
      </w:r>
    </w:p>
    <w:p>
      <w:r>
        <w:t>gez. Nora Feld, Architektin</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Vergabetermine und Schnittstellen der sieben Bauaufträge</dc:title>
  <dc:subject/>
  <dc:creator>Klotzkette</dc:creator>
  <cp:keywords/>
  <dc:description>generated by python-docx</dc:description>
  <cp:lastModifiedBy>Klotzkette</cp:lastModifiedBy>
  <cp:revision>1</cp:revision>
  <dcterms:created xsi:type="dcterms:W3CDTF">2027-10-01T00:00:00Z</dcterms:created>
  <dcterms:modified xsi:type="dcterms:W3CDTF">2027-10-01T00:00:00Z</dcterms:modified>
  <cp:category/>
  <dc:language>de-DE</dc:language>
</cp:coreProperties>
</file>