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Detailleistungsverzeichnis Los 2</w:t>
      </w:r>
    </w:p>
    <w:p>
      <w:r>
        <w:t>Dach Fassade und Fenster · Erläuterungsstand 12.11.2027 · HOAI Leistungsphasen 6 und 7</w:t>
      </w:r>
    </w:p>
    <w:p>
      <w:pPr>
        <w:pStyle w:val="Heading1"/>
      </w:pPr>
      <w:r>
        <w:t>1 Vertragsbezug und Kalkulationszweck</w:t>
      </w:r>
    </w:p>
    <w:p>
      <w:r>
        <w:t>Dieses Blatt konkretisiert die Mengen- und Preisansätze des Angebots vom 29.10.2027 und des Bauvertrags vom 12.11.2027 mit Dachraum Gebäudehülle GmbH. Die Pauschale von 440.000,00 EUR netto sowie die Leistungsgrenzen des Ausgangs-LV vom 04.10.2027 bleiben maßgeblich. Die Unterpositionen begründen keinen Einheitspreisvertrag und keinen automatischen Mehrvergütungsanspruch bei einer Mengenabweichung.</w:t>
      </w:r>
    </w:p>
    <w:p>
      <w:r>
        <w:t>Die Mengen sind nachvollziehbare Kalkulationsansätze des freigegebenen Planstands vom 24.09.2027. Sie sind weder ein bereits gemessenes Bestandsaufmaß noch ein Ersatz für die Werk- und Montageplanung. Die Ausführung wird nach Bauteil, Aufmaßblatt und Planrevision dokumentiert. Bei Änderungen werden Anlass, tatsächlich betroffene Leistung und Vertragsgrundlage gesondert geprüft; eine technische Freigabe ist kein Zusatzauftrag.</w:t>
      </w:r>
    </w:p>
    <w:p>
      <w:pPr>
        <w:pStyle w:val="Heading1"/>
      </w:pPr>
      <w:r>
        <w:t>2 Summen und ursprüngliche Positionen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839"/>
        <w:gridCol w:w="2154"/>
      </w:tblGrid>
      <w:tr>
        <w:trPr>
          <w:cantSplit/>
          <w:tblHeader/>
        </w:trPr>
        <w:tc>
          <w:tcPr>
            <w:tcW w:type="dxa" w:w="1701"/>
            <w:tcMar>
              <w:top w:w="75" w:type="dxa"/>
              <w:left w:w="75" w:type="dxa"/>
              <w:bottom w:w="75" w:type="dxa"/>
              <w:right w:w="75" w:type="dxa"/>
            </w:tcMar>
            <w:shd w:fill="E8EDF0"/>
          </w:tcPr>
          <w:p>
            <w:pPr>
              <w:spacing w:after="40" w:before="40"/>
            </w:pPr>
            <w:r>
              <w:rPr>
                <w:b/>
                <w:sz w:val="20"/>
              </w:rPr>
              <w:t>Ausgangs-LV</w:t>
            </w:r>
          </w:p>
        </w:tc>
        <w:tc>
          <w:tcPr>
            <w:tcW w:type="dxa" w:w="5839"/>
            <w:tcMar>
              <w:top w:w="75" w:type="dxa"/>
              <w:left w:w="75" w:type="dxa"/>
              <w:bottom w:w="75" w:type="dxa"/>
              <w:right w:w="75" w:type="dxa"/>
            </w:tcMar>
            <w:shd w:fill="E8EDF0"/>
          </w:tcPr>
          <w:p>
            <w:pPr>
              <w:spacing w:after="40" w:before="40"/>
            </w:pPr>
            <w:r>
              <w:rPr>
                <w:b/>
                <w:sz w:val="20"/>
              </w:rPr>
              <w:t>Leistungsgruppe</w:t>
            </w:r>
          </w:p>
        </w:tc>
        <w:tc>
          <w:tcPr>
            <w:tcW w:type="dxa" w:w="2154"/>
            <w:tcMar>
              <w:top w:w="75" w:type="dxa"/>
              <w:left w:w="75" w:type="dxa"/>
              <w:bottom w:w="75" w:type="dxa"/>
              <w:right w:w="75" w:type="dxa"/>
            </w:tcMar>
            <w:shd w:fill="E8EDF0"/>
          </w:tcPr>
          <w:p>
            <w:pPr>
              <w:spacing w:after="40" w:before="40"/>
            </w:pPr>
            <w:r>
              <w:rPr>
                <w:b/>
                <w:sz w:val="20"/>
              </w:rPr>
              <w:t>Netto EUR</w:t>
            </w:r>
          </w:p>
        </w:tc>
      </w:tr>
      <w:tr>
        <w:trPr>
          <w:cantSplit/>
        </w:trPr>
        <w:tc>
          <w:tcPr>
            <w:tcW w:type="dxa" w:w="1701"/>
            <w:tcMar>
              <w:top w:w="75" w:type="dxa"/>
              <w:left w:w="75" w:type="dxa"/>
              <w:bottom w:w="75" w:type="dxa"/>
              <w:right w:w="75" w:type="dxa"/>
            </w:tcMar>
          </w:tcPr>
          <w:p>
            <w:pPr>
              <w:spacing w:after="40" w:before="40"/>
            </w:pPr>
            <w:r>
              <w:rPr>
                <w:b w:val="0"/>
                <w:sz w:val="20"/>
              </w:rPr>
              <w:t>3.1</w:t>
            </w:r>
          </w:p>
        </w:tc>
        <w:tc>
          <w:tcPr>
            <w:tcW w:type="dxa" w:w="5839"/>
            <w:tcMar>
              <w:top w:w="75" w:type="dxa"/>
              <w:left w:w="75" w:type="dxa"/>
              <w:bottom w:w="75" w:type="dxa"/>
              <w:right w:w="75" w:type="dxa"/>
            </w:tcMar>
          </w:tcPr>
          <w:p>
            <w:pPr>
              <w:spacing w:after="40" w:before="40"/>
            </w:pPr>
            <w:r>
              <w:rPr>
                <w:b w:val="0"/>
                <w:sz w:val="20"/>
              </w:rPr>
              <w:t>Dachabdichtung und Dämmung</w:t>
            </w:r>
          </w:p>
        </w:tc>
        <w:tc>
          <w:tcPr>
            <w:tcW w:type="dxa" w:w="2154"/>
            <w:tcMar>
              <w:top w:w="75" w:type="dxa"/>
              <w:left w:w="75" w:type="dxa"/>
              <w:bottom w:w="75" w:type="dxa"/>
              <w:right w:w="75" w:type="dxa"/>
            </w:tcMar>
          </w:tcPr>
          <w:p>
            <w:pPr>
              <w:spacing w:after="40" w:before="40"/>
            </w:pPr>
            <w:r>
              <w:rPr>
                <w:b w:val="0"/>
                <w:sz w:val="20"/>
              </w:rPr>
              <w:t>130.000,00</w:t>
            </w:r>
          </w:p>
        </w:tc>
      </w:tr>
      <w:tr>
        <w:trPr>
          <w:cantSplit/>
        </w:trPr>
        <w:tc>
          <w:tcPr>
            <w:tcW w:type="dxa" w:w="1701"/>
            <w:tcMar>
              <w:top w:w="75" w:type="dxa"/>
              <w:left w:w="75" w:type="dxa"/>
              <w:bottom w:w="75" w:type="dxa"/>
              <w:right w:w="75" w:type="dxa"/>
            </w:tcMar>
          </w:tcPr>
          <w:p>
            <w:pPr>
              <w:spacing w:after="40" w:before="40"/>
            </w:pPr>
            <w:r>
              <w:rPr>
                <w:b w:val="0"/>
                <w:sz w:val="20"/>
              </w:rPr>
              <w:t>3.2</w:t>
            </w:r>
          </w:p>
        </w:tc>
        <w:tc>
          <w:tcPr>
            <w:tcW w:type="dxa" w:w="5839"/>
            <w:tcMar>
              <w:top w:w="75" w:type="dxa"/>
              <w:left w:w="75" w:type="dxa"/>
              <w:bottom w:w="75" w:type="dxa"/>
              <w:right w:w="75" w:type="dxa"/>
            </w:tcMar>
          </w:tcPr>
          <w:p>
            <w:pPr>
              <w:spacing w:after="40" w:before="40"/>
            </w:pPr>
            <w:r>
              <w:rPr>
                <w:b w:val="0"/>
                <w:sz w:val="20"/>
              </w:rPr>
              <w:t>Fassade und Sockel</w:t>
            </w:r>
          </w:p>
        </w:tc>
        <w:tc>
          <w:tcPr>
            <w:tcW w:type="dxa" w:w="2154"/>
            <w:tcMar>
              <w:top w:w="75" w:type="dxa"/>
              <w:left w:w="75" w:type="dxa"/>
              <w:bottom w:w="75" w:type="dxa"/>
              <w:right w:w="75" w:type="dxa"/>
            </w:tcMar>
          </w:tcPr>
          <w:p>
            <w:pPr>
              <w:spacing w:after="40" w:before="40"/>
            </w:pPr>
            <w:r>
              <w:rPr>
                <w:b w:val="0"/>
                <w:sz w:val="20"/>
              </w:rPr>
              <w:t>130.000,00</w:t>
            </w:r>
          </w:p>
        </w:tc>
      </w:tr>
      <w:tr>
        <w:trPr>
          <w:cantSplit/>
        </w:trPr>
        <w:tc>
          <w:tcPr>
            <w:tcW w:type="dxa" w:w="1701"/>
            <w:tcMar>
              <w:top w:w="75" w:type="dxa"/>
              <w:left w:w="75" w:type="dxa"/>
              <w:bottom w:w="75" w:type="dxa"/>
              <w:right w:w="75" w:type="dxa"/>
            </w:tcMar>
          </w:tcPr>
          <w:p>
            <w:pPr>
              <w:spacing w:after="40" w:before="40"/>
            </w:pPr>
            <w:r>
              <w:rPr>
                <w:b w:val="0"/>
                <w:sz w:val="20"/>
              </w:rPr>
              <w:t>3.3</w:t>
            </w:r>
          </w:p>
        </w:tc>
        <w:tc>
          <w:tcPr>
            <w:tcW w:type="dxa" w:w="5839"/>
            <w:tcMar>
              <w:top w:w="75" w:type="dxa"/>
              <w:left w:w="75" w:type="dxa"/>
              <w:bottom w:w="75" w:type="dxa"/>
              <w:right w:w="75" w:type="dxa"/>
            </w:tcMar>
          </w:tcPr>
          <w:p>
            <w:pPr>
              <w:spacing w:after="40" w:before="40"/>
            </w:pPr>
            <w:r>
              <w:rPr>
                <w:b w:val="0"/>
                <w:sz w:val="20"/>
              </w:rPr>
              <w:t>Fenster und Außentüren</w:t>
            </w:r>
          </w:p>
        </w:tc>
        <w:tc>
          <w:tcPr>
            <w:tcW w:type="dxa" w:w="2154"/>
            <w:tcMar>
              <w:top w:w="75" w:type="dxa"/>
              <w:left w:w="75" w:type="dxa"/>
              <w:bottom w:w="75" w:type="dxa"/>
              <w:right w:w="75" w:type="dxa"/>
            </w:tcMar>
          </w:tcPr>
          <w:p>
            <w:pPr>
              <w:spacing w:after="40" w:before="40"/>
            </w:pPr>
            <w:r>
              <w:rPr>
                <w:b w:val="0"/>
                <w:sz w:val="20"/>
              </w:rPr>
              <w:t>140.000,00</w:t>
            </w:r>
          </w:p>
        </w:tc>
      </w:tr>
      <w:tr>
        <w:trPr>
          <w:cantSplit/>
        </w:trPr>
        <w:tc>
          <w:tcPr>
            <w:tcW w:type="dxa" w:w="1701"/>
            <w:tcMar>
              <w:top w:w="75" w:type="dxa"/>
              <w:left w:w="75" w:type="dxa"/>
              <w:bottom w:w="75" w:type="dxa"/>
              <w:right w:w="75" w:type="dxa"/>
            </w:tcMar>
          </w:tcPr>
          <w:p>
            <w:pPr>
              <w:spacing w:after="40" w:before="40"/>
            </w:pPr>
            <w:r>
              <w:rPr>
                <w:b w:val="0"/>
                <w:sz w:val="20"/>
              </w:rPr>
              <w:t>3.4</w:t>
            </w:r>
          </w:p>
        </w:tc>
        <w:tc>
          <w:tcPr>
            <w:tcW w:type="dxa" w:w="5839"/>
            <w:tcMar>
              <w:top w:w="75" w:type="dxa"/>
              <w:left w:w="75" w:type="dxa"/>
              <w:bottom w:w="75" w:type="dxa"/>
              <w:right w:w="75" w:type="dxa"/>
            </w:tcMar>
          </w:tcPr>
          <w:p>
            <w:pPr>
              <w:spacing w:after="40" w:before="40"/>
            </w:pPr>
            <w:r>
              <w:rPr>
                <w:b w:val="0"/>
                <w:sz w:val="20"/>
              </w:rPr>
              <w:t>Sonnenschutz und Anschlussprüfung</w:t>
            </w:r>
          </w:p>
        </w:tc>
        <w:tc>
          <w:tcPr>
            <w:tcW w:type="dxa" w:w="2154"/>
            <w:tcMar>
              <w:top w:w="75" w:type="dxa"/>
              <w:left w:w="75" w:type="dxa"/>
              <w:bottom w:w="75" w:type="dxa"/>
              <w:right w:w="75" w:type="dxa"/>
            </w:tcMar>
          </w:tcPr>
          <w:p>
            <w:pPr>
              <w:spacing w:after="40" w:before="40"/>
            </w:pPr>
            <w:r>
              <w:rPr>
                <w:b w:val="0"/>
                <w:sz w:val="20"/>
              </w:rPr>
              <w:t>40.000,00</w:t>
            </w:r>
          </w:p>
        </w:tc>
      </w:tr>
      <w:tr>
        <w:trPr>
          <w:cantSplit/>
        </w:trPr>
        <w:tc>
          <w:tcPr>
            <w:tcW w:type="dxa" w:w="1701"/>
            <w:tcMar>
              <w:top w:w="75" w:type="dxa"/>
              <w:left w:w="75" w:type="dxa"/>
              <w:bottom w:w="75" w:type="dxa"/>
              <w:right w:w="75" w:type="dxa"/>
            </w:tcMar>
          </w:tcPr>
          <w:p>
            <w:pPr>
              <w:spacing w:after="40" w:before="40"/>
            </w:pPr>
            <w:r>
              <w:rPr>
                <w:b w:val="0"/>
                <w:sz w:val="20"/>
              </w:rPr>
            </w:r>
          </w:p>
        </w:tc>
        <w:tc>
          <w:tcPr>
            <w:tcW w:type="dxa" w:w="5839"/>
            <w:tcMar>
              <w:top w:w="75" w:type="dxa"/>
              <w:left w:w="75" w:type="dxa"/>
              <w:bottom w:w="75" w:type="dxa"/>
              <w:right w:w="75" w:type="dxa"/>
            </w:tcMar>
          </w:tcPr>
          <w:p>
            <w:pPr>
              <w:spacing w:after="40" w:before="40"/>
            </w:pPr>
            <w:r>
              <w:rPr>
                <w:b w:val="0"/>
                <w:sz w:val="20"/>
              </w:rPr>
              <w:t>Los gesamt</w:t>
            </w:r>
          </w:p>
        </w:tc>
        <w:tc>
          <w:tcPr>
            <w:tcW w:type="dxa" w:w="2154"/>
            <w:tcMar>
              <w:top w:w="75" w:type="dxa"/>
              <w:left w:w="75" w:type="dxa"/>
              <w:bottom w:w="75" w:type="dxa"/>
              <w:right w:w="75" w:type="dxa"/>
            </w:tcMar>
          </w:tcPr>
          <w:p>
            <w:pPr>
              <w:spacing w:after="40" w:before="40"/>
            </w:pPr>
            <w:r>
              <w:rPr>
                <w:b w:val="0"/>
                <w:sz w:val="20"/>
              </w:rPr>
              <w:t>440.000,00</w:t>
            </w:r>
          </w:p>
        </w:tc>
      </w:tr>
    </w:tbl>
    <w:p/>
    <w:p>
      <w:pPr>
        <w:pStyle w:val="Heading1"/>
      </w:pPr>
      <w:r>
        <w:t>3 Anforderungen an Angebot und Ausführung</w:t>
      </w:r>
    </w:p>
    <w:p>
      <w:r>
        <w:t>Angeboten ist die vollständige beschriebene Leistung einschließlich eigener Nebenarbeiten, Schutz und geordneter Dokumentation. Produktvorschläge und Abweichungen sind vor Beschaffung schriftlich mit ihrem Einfluss auf Funktion, Nachweise und Schnittstellen vorzulegen. Gesetzlich erforderliche Nachweise und die anerkannten Regeln der Technik werden projektbezogen geprüft. Produkt- und Verwendungsnachweise müssen das konkret vorgesehene System und den maßgeblichen Ausgabestand erkennen lassen.</w:t>
      </w:r>
    </w:p>
    <w:p>
      <w:r>
        <w:t>Die im Projekt geschlossenen Verträge folgen dem BGB. Aus einer fachüblichen LV-Bezeichnung folgt keine Einbeziehung der VOB/B. Die hier verwendeten Einzelansätze unterstützen Kalkulation und Rechnungsprüfung; sie bewerten weder einen unbestellten Nachtrag noch ersetzen sie die Prüfung einer konkreten Änderungsvereinbarung.</w:t>
      </w:r>
    </w:p>
    <w:p>
      <w:r>
        <w:br w:type="page"/>
      </w:r>
    </w:p>
    <w:p>
      <w:pPr>
        <w:pStyle w:val="Heading1"/>
      </w:pPr>
      <w:r>
        <w:t>2.1.1 Dachabdichtung</w:t>
      </w:r>
    </w:p>
    <w:p>
      <w:r>
        <w:t>Bezug: Ursprungsposition 3.1 Dachabdichtung und Dämmung. Kalkulation: 300 m² × 115,00 EUR = 34.500,00 EUR netto.</w:t>
      </w:r>
    </w:p>
    <w:p>
      <w:r>
        <w:t>Beide Flachdachebenen werden mit dem abgestimmten Abdichtungssystem ausgeführt; die 80 m² große Rücksprungfläche bleibt Wartungsdach und wird nicht zur Terrasse ausgebaut.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2.1.1. Lieferbelege und Prüfblätter werden dem betreffenden Bauteil zugeordnet; eine Unterschrift über Anlieferung oder Mengenaufnahme enthält keine rechtsgeschäftliche Abnahme der gesamten Vertragsleistung.</w:t>
      </w:r>
    </w:p>
    <w:p>
      <w:pPr>
        <w:pStyle w:val="Heading1"/>
      </w:pPr>
      <w:r>
        <w:t>2.1.2 Gefälledämmung</w:t>
      </w:r>
    </w:p>
    <w:p>
      <w:r>
        <w:t>Bezug: Ursprungsposition 3.1 Dachabdichtung und Dämmung. Kalkulation: 300 m² × 110,00 EUR = 33.000,00 EUR netto.</w:t>
      </w:r>
    </w:p>
    <w:p>
      <w:r>
        <w:t>Die Gefälledämmung wird gemäß Gefälleplan verlegt; Dämmwirkung, Druckbeanspruchung und Entwässerungswege werden gemeinsam mit Dachlasten und PV-Aufstellung geprüft.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2.1.2. Lieferbelege und Prüfblätter werden dem betreffenden Bauteil zugeordnet; eine Unterschrift über Anlieferung oder Mengenaufnahme enthält keine rechtsgeschäftliche Abnahme der gesamten Vertragsleistung.</w:t>
      </w:r>
    </w:p>
    <w:p>
      <w:r>
        <w:br w:type="page"/>
      </w:r>
    </w:p>
    <w:p>
      <w:pPr>
        <w:pStyle w:val="Heading1"/>
      </w:pPr>
      <w:r>
        <w:t>2.1.3 Attika und Randanschlüsse</w:t>
      </w:r>
    </w:p>
    <w:p>
      <w:r>
        <w:t>Bezug: Ursprungsposition 3.1 Dachabdichtung und Dämmung. Kalkulation: 140 m × 175,00 EUR = 24.500,00 EUR netto.</w:t>
      </w:r>
    </w:p>
    <w:p>
      <w:r>
        <w:t>Rand- und Attikaanschlüsse werden einschließlich Ecken und Abdeckungen hergestellt; Anschlusslängen sind an den abgewickelten Detailmaßen zu prüfen.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2.1.3. Lieferbelege und Prüfblätter werden dem betreffenden Bauteil zugeordnet; eine Unterschrift über Anlieferung oder Mengenaufnahme enthält keine rechtsgeschäftliche Abnahme der gesamten Vertragsleistung.</w:t>
      </w:r>
    </w:p>
    <w:p>
      <w:pPr>
        <w:pStyle w:val="Heading1"/>
      </w:pPr>
      <w:r>
        <w:t>2.1.4 Haupt und Notentwässerung</w:t>
      </w:r>
    </w:p>
    <w:p>
      <w:r>
        <w:t>Bezug: Ursprungsposition 3.1 Dachabdichtung und Dämmung. Kalkulation: 8 Stück × 1.750,00 EUR = 14.000,00 EUR netto.</w:t>
      </w:r>
    </w:p>
    <w:p>
      <w:r>
        <w:t>Abläufe und Notentwässerung werden in der im Entwässerungsplan zugeordneten Funktion eingebaut; die acht kalkulierten Ablaufstellen sind keine frei austauschbaren Standardteile.</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2.1.4. Lieferbelege und Prüfblätter werden dem betreffenden Bauteil zugeordnet; eine Unterschrift über Anlieferung oder Mengenaufnahme enthält keine rechtsgeschäftliche Abnahme der gesamten Vertragsleistung.</w:t>
      </w:r>
    </w:p>
    <w:p>
      <w:r>
        <w:br w:type="page"/>
      </w:r>
    </w:p>
    <w:p>
      <w:pPr>
        <w:pStyle w:val="Heading1"/>
      </w:pPr>
      <w:r>
        <w:t>2.1.5 Dachdurchdringungen</w:t>
      </w:r>
    </w:p>
    <w:p>
      <w:r>
        <w:t>Bezug: Ursprungsposition 3.1 Dachabdichtung und Dämmung. Kalkulation: 8 Stück × 1.800,00 EUR = 14.400,00 EUR netto.</w:t>
      </w:r>
    </w:p>
    <w:p>
      <w:r>
        <w:t>Durchdringungen werden mit systemverträglichen Anschlüssen und zugänglicher Kontrolle ausgeführt; zusätzliche Bohrungen für die PV-Anlage bedürfen vorheriger Abstimmung.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2.1.5. Lieferbelege und Prüfblätter werden dem betreffenden Bauteil zugeordnet; eine Unterschrift über Anlieferung oder Mengenaufnahme enthält keine rechtsgeschäftliche Abnahme der gesamten Vertragsleistung.</w:t>
      </w:r>
    </w:p>
    <w:p>
      <w:pPr>
        <w:pStyle w:val="Heading1"/>
      </w:pPr>
      <w:r>
        <w:t>2.1.6 Temporärer Dachschutz</w:t>
      </w:r>
    </w:p>
    <w:p>
      <w:r>
        <w:t>Bezug: Ursprungsposition 3.1 Dachabdichtung und Dämmung. Kalkulation: 300 m² × 32,00 EUR = 9.600,00 EUR netto.</w:t>
      </w:r>
    </w:p>
    <w:p>
      <w:r>
        <w:t>Die fertige Abdichtung wird während nachfolgender Arbeiten gegen mechanische Beschädigung geschützt; Schutzlagen werden vor der Endkontrolle aufgenommen.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2.1.6. Lieferbelege und Prüfblätter werden dem betreffenden Bauteil zugeordnet; eine Unterschrift über Anlieferung oder Mengenaufnahme enthält keine rechtsgeschäftliche Abnahme der gesamten Vertragsleistung.</w:t>
      </w:r>
    </w:p>
    <w:p>
      <w:r>
        <w:br w:type="page"/>
      </w:r>
    </w:p>
    <w:p>
      <w:pPr>
        <w:pStyle w:val="Heading1"/>
      </w:pPr>
      <w:r>
        <w:t>2.2.1 Fassadendämmsystem</w:t>
      </w:r>
    </w:p>
    <w:p>
      <w:r>
        <w:t>Bezug: Ursprungsposition 3.2 Fassade und Sockel. Kalkulation: 620 m² × 145,00 EUR = 89.900,00 EUR netto.</w:t>
      </w:r>
    </w:p>
    <w:p>
      <w:r>
        <w:t>Die Fassadenflächen erhalten das freigegebene Gesamtsystem aus Dämmung, Befestigung und Putz; Systembestandteile verschiedener Hersteller dürfen nicht ungeprüft kombiniert werden.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2.2.1. Lieferbelege und Prüfblätter werden dem betreffenden Bauteil zugeordnet; eine Unterschrift über Anlieferung oder Mengenaufnahme enthält keine rechtsgeschäftliche Abnahme der gesamten Vertragsleistung.</w:t>
      </w:r>
    </w:p>
    <w:p>
      <w:pPr>
        <w:pStyle w:val="Heading1"/>
      </w:pPr>
      <w:r>
        <w:t>2.2.2 Sockelabdichtung und Oberfläche</w:t>
      </w:r>
    </w:p>
    <w:p>
      <w:r>
        <w:t>Bezug: Ursprungsposition 3.2 Fassade und Sockel. Kalkulation: 75 m² × 160,00 EUR = 12.000,00 EUR netto.</w:t>
      </w:r>
    </w:p>
    <w:p>
      <w:r>
        <w:t>Sockelzonen werden mit Spritzwasserschutz und abgestimmtem Übergang zur erdberührten Abdichtung hergestellt; Außenanlagen dürfen diese Anschlüsse nicht überbauen.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2.2.2. Lieferbelege und Prüfblätter werden dem betreffenden Bauteil zugeordnet; eine Unterschrift über Anlieferung oder Mengenaufnahme enthält keine rechtsgeschäftliche Abnahme der gesamten Vertragsleistung.</w:t>
      </w:r>
    </w:p>
    <w:p>
      <w:r>
        <w:br w:type="page"/>
      </w:r>
    </w:p>
    <w:p>
      <w:pPr>
        <w:pStyle w:val="Heading1"/>
      </w:pPr>
      <w:r>
        <w:t>2.2.3 Laibungen und Fensteranschlüsse</w:t>
      </w:r>
    </w:p>
    <w:p>
      <w:r>
        <w:t>Bezug: Ursprungsposition 3.2 Fassade und Sockel. Kalkulation: 220 m × 65,00 EUR = 14.300,00 EUR netto.</w:t>
      </w:r>
    </w:p>
    <w:p>
      <w:r>
        <w:t>Laibungen erhalten durchgehende Dämm- und Anschlussdetails; Anschlussprofile und Bewegungsmöglichkeiten der Fenster sind vor dem Putzauftrag abzustimmen.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2.2.3. Lieferbelege und Prüfblätter werden dem betreffenden Bauteil zugeordnet; eine Unterschrift über Anlieferung oder Mengenaufnahme enthält keine rechtsgeschäftliche Abnahme der gesamten Vertragsleistung.</w:t>
      </w:r>
    </w:p>
    <w:p>
      <w:pPr>
        <w:pStyle w:val="Heading1"/>
      </w:pPr>
      <w:r>
        <w:t>2.2.4 Fassadengerüst</w:t>
      </w:r>
    </w:p>
    <w:p>
      <w:r>
        <w:t>Bezug: Ursprungsposition 3.2 Fassade und Sockel. Kalkulation: 690 m² × 20,00 EUR = 13.800,00 EUR netto.</w:t>
      </w:r>
    </w:p>
    <w:p>
      <w:r>
        <w:t>Für den eigenen Fassadenumfang wird ein geeignetes Gerüst einschließlich Zugang, Prüfung und Anpassung gestellt; die Rohbaugerüste sind hiervon vertraglich getrennt.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2.2.4. Lieferbelege und Prüfblätter werden dem betreffenden Bauteil zugeordnet; eine Unterschrift über Anlieferung oder Mengenaufnahme enthält keine rechtsgeschäftliche Abnahme der gesamten Vertragsleistung.</w:t>
      </w:r>
    </w:p>
    <w:p>
      <w:r>
        <w:br w:type="page"/>
      </w:r>
    </w:p>
    <w:p>
      <w:pPr>
        <w:pStyle w:val="Heading1"/>
      </w:pPr>
      <w:r>
        <w:t>2.3.1 Regelfenster</w:t>
      </w:r>
    </w:p>
    <w:p>
      <w:r>
        <w:t>Bezug: Ursprungsposition 3.3 Fenster und Außentüren. Kalkulation: 40 Stück × 2.000,00 EUR = 80.000,00 EUR netto.</w:t>
      </w:r>
    </w:p>
    <w:p>
      <w:r>
        <w:t>Die vierzig Regelfenster werden nach freigegebener Fensterliste mit den festgelegten Öffnungsarten, Verglasungen und bauphysikalischen Eigenschaften geliefert und montiert.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2.3.1. Lieferbelege und Prüfblätter werden dem betreffenden Bauteil zugeordnet; eine Unterschrift über Anlieferung oder Mengenaufnahme enthält keine rechtsgeschäftliche Abnahme der gesamten Vertragsleistung.</w:t>
      </w:r>
    </w:p>
    <w:p>
      <w:pPr>
        <w:pStyle w:val="Heading1"/>
      </w:pPr>
      <w:r>
        <w:t>2.3.2 Große Fensterelemente</w:t>
      </w:r>
    </w:p>
    <w:p>
      <w:r>
        <w:t>Bezug: Ursprungsposition 3.3 Fenster und Außentüren. Kalkulation: 8 Stück × 3.750,00 EUR = 30.000,00 EUR netto.</w:t>
      </w:r>
    </w:p>
    <w:p>
      <w:r>
        <w:t>Die acht großen Elemente der Wohnbereiche folgen der Fensterliste; erforderliche Sicherheitsverglasung und Rettungsöffnungen sind elementbezogen auszuweisen.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2.3.2. Lieferbelege und Prüfblätter werden dem betreffenden Bauteil zugeordnet; eine Unterschrift über Anlieferung oder Mengenaufnahme enthält keine rechtsgeschäftliche Abnahme der gesamten Vertragsleistung.</w:t>
      </w:r>
    </w:p>
    <w:p>
      <w:r>
        <w:br w:type="page"/>
      </w:r>
    </w:p>
    <w:p>
      <w:pPr>
        <w:pStyle w:val="Heading1"/>
      </w:pPr>
      <w:r>
        <w:t>2.3.3 Hauseingangselement</w:t>
      </w:r>
    </w:p>
    <w:p>
      <w:r>
        <w:t>Bezug: Ursprungsposition 3.3 Fenster und Außentüren. Kalkulation: 1 Stück × 6.000,00 EUR = 6.000,00 EUR netto.</w:t>
      </w:r>
    </w:p>
    <w:p>
      <w:r>
        <w:t>Das Hauseingangselement wird mit der schwellenlosen Anschlussausbildung AP02 und den lichten Durchgangsmaßen eingebaut; eine vier Zentimeter hohe Standardschwelle ist nicht geschuldet.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2.3.3. Lieferbelege und Prüfblätter werden dem betreffenden Bauteil zugeordnet; eine Unterschrift über Anlieferung oder Mengenaufnahme enthält keine rechtsgeschäftliche Abnahme der gesamten Vertragsleistung.</w:t>
      </w:r>
    </w:p>
    <w:p>
      <w:pPr>
        <w:pStyle w:val="Heading1"/>
      </w:pPr>
      <w:r>
        <w:t>2.3.4 Montagefugen</w:t>
      </w:r>
    </w:p>
    <w:p>
      <w:r>
        <w:t>Bezug: Ursprungsposition 3.3 Fenster und Außentüren. Kalkulation: 200 m × 95,00 EUR = 19.000,00 EUR netto.</w:t>
      </w:r>
    </w:p>
    <w:p>
      <w:r>
        <w:t>Die Anschlussfugen werden innen luftdicht, in der Fuge gedämmt und außen schlagregensicher nach dem freigegebenen Systemdetail hergestellt; der Untergrund ist vorab zu prüfen.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2.3.4. Lieferbelege und Prüfblätter werden dem betreffenden Bauteil zugeordnet; eine Unterschrift über Anlieferung oder Mengenaufnahme enthält keine rechtsgeschäftliche Abnahme der gesamten Vertragsleistung.</w:t>
      </w:r>
    </w:p>
    <w:p>
      <w:r>
        <w:br w:type="page"/>
      </w:r>
    </w:p>
    <w:p>
      <w:pPr>
        <w:pStyle w:val="Heading1"/>
      </w:pPr>
      <w:r>
        <w:t>2.3.5 Außenfensterbänke</w:t>
      </w:r>
    </w:p>
    <w:p>
      <w:r>
        <w:t>Bezug: Ursprungsposition 3.3 Fenster und Außentüren. Kalkulation: 50 m × 100,00 EUR = 5.000,00 EUR netto.</w:t>
      </w:r>
    </w:p>
    <w:p>
      <w:r>
        <w:t>Fensterbänke und seitliche Anschlüsse erhalten die geplante Neigung und eine freie Wasserführung; verdeckte Dichtstoffraupen dürfen den Ablauf nicht behindern.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2.3.5. Lieferbelege und Prüfblätter werden dem betreffenden Bauteil zugeordnet; eine Unterschrift über Anlieferung oder Mengenaufnahme enthält keine rechtsgeschäftliche Abnahme der gesamten Vertragsleistung.</w:t>
      </w:r>
    </w:p>
    <w:p>
      <w:pPr>
        <w:pStyle w:val="Heading1"/>
      </w:pPr>
      <w:r>
        <w:t>2.4.1 Außenliegender Sonnenschutz</w:t>
      </w:r>
    </w:p>
    <w:p>
      <w:r>
        <w:t>Bezug: Ursprungsposition 3.4 Sonnenschutz und Anschlussprüfung. Kalkulation: 24 Stück × 1.000,00 EUR = 24.000,00 EUR netto.</w:t>
      </w:r>
    </w:p>
    <w:p>
      <w:r>
        <w:t>Die vierundzwanzig in der Fassadenliste bezeichneten Elemente erhalten motorisierten Sonnenschutz mit zugänglicher Wartungsmöglichkeit; Befestigungen berücksichtigen die Fassadenlasten.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2.4.1. Lieferbelege und Prüfblätter werden dem betreffenden Bauteil zugeordnet; eine Unterschrift über Anlieferung oder Mengenaufnahme enthält keine rechtsgeschäftliche Abnahme der gesamten Vertragsleistung.</w:t>
      </w:r>
    </w:p>
    <w:p>
      <w:r>
        <w:br w:type="page"/>
      </w:r>
    </w:p>
    <w:p>
      <w:pPr>
        <w:pStyle w:val="Heading1"/>
      </w:pPr>
      <w:r>
        <w:t>2.4.2 Bedienung und Anschluss Sonnenschutz</w:t>
      </w:r>
    </w:p>
    <w:p>
      <w:r>
        <w:t>Bezug: Ursprungsposition 3.4 Sonnenschutz und Anschlussprüfung. Kalkulation: 24 Stück × 250,00 EUR = 6.000,00 EUR netto.</w:t>
      </w:r>
    </w:p>
    <w:p>
      <w:r>
        <w:t>Antriebe werden am bauseits bereitgestellten Übergabepunkt angeschlossen und funktionsbezogen gekennzeichnet; die feste Elektro-Zuleitung verbleibt im Elektrolos.</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2.4.2. Lieferbelege und Prüfblätter werden dem betreffenden Bauteil zugeordnet; eine Unterschrift über Anlieferung oder Mengenaufnahme enthält keine rechtsgeschäftliche Abnahme der gesamten Vertragsleistung.</w:t>
      </w:r>
    </w:p>
    <w:p>
      <w:pPr>
        <w:pStyle w:val="Heading1"/>
      </w:pPr>
      <w:r>
        <w:t>2.4.3 Fenster und Beschlageinstellung</w:t>
      </w:r>
    </w:p>
    <w:p>
      <w:r>
        <w:t>Bezug: Ursprungsposition 3.4 Sonnenschutz und Anschlussprüfung. Kalkulation: 48 Stück × 100,00 EUR = 4.800,00 EUR netto.</w:t>
      </w:r>
    </w:p>
    <w:p>
      <w:r>
        <w:t>Alle achtundvierzig Fenster werden auf Bedienbarkeit, Schließdruck und Funktionsfähigkeit geprüft; die Einstellung wird je Element dokumentiert.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2.4.3. Lieferbelege und Prüfblätter werden dem betreffenden Bauteil zugeordnet; eine Unterschrift über Anlieferung oder Mengenaufnahme enthält keine rechtsgeschäftliche Abnahme der gesamten Vertragsleistung.</w:t>
      </w:r>
    </w:p>
    <w:p>
      <w:r>
        <w:br w:type="page"/>
      </w:r>
    </w:p>
    <w:p>
      <w:pPr>
        <w:pStyle w:val="Heading1"/>
      </w:pPr>
      <w:r>
        <w:t>2.4.4 Luftdichtheitskontrollen</w:t>
      </w:r>
    </w:p>
    <w:p>
      <w:r>
        <w:t>Bezug: Ursprungsposition 3.4 Sonnenschutz und Anschlussprüfung. Kalkulation: 2 Termin × 1.800,00 EUR = 3.600,00 EUR netto.</w:t>
      </w:r>
    </w:p>
    <w:p>
      <w:r>
        <w:t>Ein baubegleitender und ein abschließender Kontrolltermin werden mit Energieplanung und Messdienst abgestimmt; abweichende Messbedingungen und Leckagen sind konkret aufzunehmen.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2.4.4. Lieferbelege und Prüfblätter werden dem betreffenden Bauteil zugeordnet; eine Unterschrift über Anlieferung oder Mengenaufnahme enthält keine rechtsgeschäftliche Abnahme der gesamten Vertragsleistung.</w:t>
      </w:r>
    </w:p>
    <w:p>
      <w:pPr>
        <w:pStyle w:val="Heading1"/>
      </w:pPr>
      <w:r>
        <w:t>2.4.5 Pflege und Bestandsunterlagen</w:t>
      </w:r>
    </w:p>
    <w:p>
      <w:r>
        <w:t>Bezug: Ursprungsposition 3.4 Sonnenschutz und Anschlussprüfung. Kalkulation: 1 Satz × 1.600,00 EUR = 1.600,00 EUR netto.</w:t>
      </w:r>
    </w:p>
    <w:p>
      <w:r>
        <w:t>Die Bauherrin erhält elementbezogene Pflegehinweise, Produktunterlagen und eine Liste zugänglicher Wartungspunkte; pauschale Haftungsausschlüsse sind nicht Bestandteil der Leistung.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2.4.5. Lieferbelege und Prüfblätter werden dem betreffenden Bauteil zugeordnet; eine Unterschrift über Anlieferung oder Mengenaufnahme enthält keine rechtsgeschäftliche Abnahme der gesamten Vertragsleistung.</w:t>
      </w:r>
    </w:p>
    <w:p>
      <w:r>
        <w:t>Geprüft für die technische Koordination: Nora Feld. Kalkulation erläutert durch die Bauleitung des Auftragnehmers. Die Bauherrin hält an der vereinbarten Lospauschale fest.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Detailleistungsverzeichnis Los 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