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Detailleistungsverzeichnis Los 5</w:t>
      </w:r>
    </w:p>
    <w:p>
      <w:r>
        <w:t>Innenausbau und Bodenbeläge · Erläuterungsstand 12.11.2027 · HOAI Leistungsphasen 6 und 7</w:t>
      </w:r>
    </w:p>
    <w:p>
      <w:pPr>
        <w:pStyle w:val="Heading1"/>
      </w:pPr>
      <w:r>
        <w:t>1 Vertragsbezug und Kalkulationszweck</w:t>
      </w:r>
    </w:p>
    <w:p>
      <w:r>
        <w:t>Dieses Blatt konkretisiert die Mengen- und Preisansätze des Angebots vom 29.10.2027 und des Bauvertrags vom 12.11.2027 mit Innenraum Ausbau GmbH. Die Pauschale von 300.000,00 EUR netto sowie die Leistungsgrenzen des Ausgangs-LV vom 04.10.2027 bleiben maßgeblich. Die Unterpositionen begründen keinen Einheitspreisvertrag und keinen automatischen Mehrvergütungsanspruch bei einer Mengenabweichung.</w:t>
      </w:r>
    </w:p>
    <w:p>
      <w:r>
        <w:t>Die Mengen sind nachvollziehbare Kalkulationsansätze des freigegebenen Planstands vom 24.09.2027. Sie sind weder ein bereits gemessenes Bestandsaufmaß noch ein Ersatz für die Werk- und Montageplanung. Die Ausführung wird nach Bauteil, Aufmaßblatt und Planrevision dokumentiert. Bei Änderungen werden Anlass, tatsächlich betroffene Leistung und Vertragsgrundlage gesondert geprüft; eine technische Freigabe ist kein Zusatzauftrag.</w:t>
      </w:r>
    </w:p>
    <w:p>
      <w:pPr>
        <w:pStyle w:val="Heading1"/>
      </w:pPr>
      <w:r>
        <w:t>2 Summen und ursprüngliche Positionen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839"/>
        <w:gridCol w:w="2154"/>
      </w:tblGrid>
      <w:tr>
        <w:trPr>
          <w:cantSplit/>
          <w:tblHeader/>
        </w:trPr>
        <w:tc>
          <w:tcPr>
            <w:tcW w:type="dxa" w:w="1701"/>
            <w:tcMar>
              <w:top w:w="75" w:type="dxa"/>
              <w:left w:w="75" w:type="dxa"/>
              <w:bottom w:w="75" w:type="dxa"/>
              <w:right w:w="75" w:type="dxa"/>
            </w:tcMar>
            <w:shd w:fill="E8EDF0"/>
          </w:tcPr>
          <w:p>
            <w:pPr>
              <w:spacing w:after="40" w:before="40"/>
            </w:pPr>
            <w:r>
              <w:rPr>
                <w:b/>
                <w:sz w:val="20"/>
              </w:rPr>
              <w:t>Ausgangs-LV</w:t>
            </w:r>
          </w:p>
        </w:tc>
        <w:tc>
          <w:tcPr>
            <w:tcW w:type="dxa" w:w="5839"/>
            <w:tcMar>
              <w:top w:w="75" w:type="dxa"/>
              <w:left w:w="75" w:type="dxa"/>
              <w:bottom w:w="75" w:type="dxa"/>
              <w:right w:w="75" w:type="dxa"/>
            </w:tcMar>
            <w:shd w:fill="E8EDF0"/>
          </w:tcPr>
          <w:p>
            <w:pPr>
              <w:spacing w:after="40" w:before="40"/>
            </w:pPr>
            <w:r>
              <w:rPr>
                <w:b/>
                <w:sz w:val="20"/>
              </w:rPr>
              <w:t>Leistungsgruppe</w:t>
            </w:r>
          </w:p>
        </w:tc>
        <w:tc>
          <w:tcPr>
            <w:tcW w:type="dxa" w:w="2154"/>
            <w:tcMar>
              <w:top w:w="75" w:type="dxa"/>
              <w:left w:w="75" w:type="dxa"/>
              <w:bottom w:w="75" w:type="dxa"/>
              <w:right w:w="75" w:type="dxa"/>
            </w:tcMar>
            <w:shd w:fill="E8EDF0"/>
          </w:tcPr>
          <w:p>
            <w:pPr>
              <w:spacing w:after="40" w:before="40"/>
            </w:pPr>
            <w:r>
              <w:rPr>
                <w:b/>
                <w:sz w:val="20"/>
              </w:rPr>
              <w:t>Netto EUR</w:t>
            </w:r>
          </w:p>
        </w:tc>
      </w:tr>
      <w:tr>
        <w:trPr>
          <w:cantSplit/>
        </w:trPr>
        <w:tc>
          <w:tcPr>
            <w:tcW w:type="dxa" w:w="1701"/>
            <w:tcMar>
              <w:top w:w="75" w:type="dxa"/>
              <w:left w:w="75" w:type="dxa"/>
              <w:bottom w:w="75" w:type="dxa"/>
              <w:right w:w="75" w:type="dxa"/>
            </w:tcMar>
          </w:tcPr>
          <w:p>
            <w:pPr>
              <w:spacing w:after="40" w:before="40"/>
            </w:pPr>
            <w:r>
              <w:rPr>
                <w:b w:val="0"/>
                <w:sz w:val="20"/>
              </w:rPr>
              <w:t>6.1</w:t>
            </w:r>
          </w:p>
        </w:tc>
        <w:tc>
          <w:tcPr>
            <w:tcW w:type="dxa" w:w="5839"/>
            <w:tcMar>
              <w:top w:w="75" w:type="dxa"/>
              <w:left w:w="75" w:type="dxa"/>
              <w:bottom w:w="75" w:type="dxa"/>
              <w:right w:w="75" w:type="dxa"/>
            </w:tcMar>
          </w:tcPr>
          <w:p>
            <w:pPr>
              <w:spacing w:after="40" w:before="40"/>
            </w:pPr>
            <w:r>
              <w:rPr>
                <w:b w:val="0"/>
                <w:sz w:val="20"/>
              </w:rPr>
              <w:t>Trockenbau und Innenputz</w:t>
            </w:r>
          </w:p>
        </w:tc>
        <w:tc>
          <w:tcPr>
            <w:tcW w:type="dxa" w:w="2154"/>
            <w:tcMar>
              <w:top w:w="75" w:type="dxa"/>
              <w:left w:w="75" w:type="dxa"/>
              <w:bottom w:w="75" w:type="dxa"/>
              <w:right w:w="75" w:type="dxa"/>
            </w:tcMar>
          </w:tcPr>
          <w:p>
            <w:pPr>
              <w:spacing w:after="40" w:before="40"/>
            </w:pPr>
            <w:r>
              <w:rPr>
                <w:b w:val="0"/>
                <w:sz w:val="20"/>
              </w:rPr>
              <w:t>100.000,00</w:t>
            </w:r>
          </w:p>
        </w:tc>
      </w:tr>
      <w:tr>
        <w:trPr>
          <w:cantSplit/>
        </w:trPr>
        <w:tc>
          <w:tcPr>
            <w:tcW w:type="dxa" w:w="1701"/>
            <w:tcMar>
              <w:top w:w="75" w:type="dxa"/>
              <w:left w:w="75" w:type="dxa"/>
              <w:bottom w:w="75" w:type="dxa"/>
              <w:right w:w="75" w:type="dxa"/>
            </w:tcMar>
          </w:tcPr>
          <w:p>
            <w:pPr>
              <w:spacing w:after="40" w:before="40"/>
            </w:pPr>
            <w:r>
              <w:rPr>
                <w:b w:val="0"/>
                <w:sz w:val="20"/>
              </w:rPr>
              <w:t>6.2</w:t>
            </w:r>
          </w:p>
        </w:tc>
        <w:tc>
          <w:tcPr>
            <w:tcW w:type="dxa" w:w="5839"/>
            <w:tcMar>
              <w:top w:w="75" w:type="dxa"/>
              <w:left w:w="75" w:type="dxa"/>
              <w:bottom w:w="75" w:type="dxa"/>
              <w:right w:w="75" w:type="dxa"/>
            </w:tcMar>
          </w:tcPr>
          <w:p>
            <w:pPr>
              <w:spacing w:after="40" w:before="40"/>
            </w:pPr>
            <w:r>
              <w:rPr>
                <w:b w:val="0"/>
                <w:sz w:val="20"/>
              </w:rPr>
              <w:t>Estrich und Bodenbeläge</w:t>
            </w:r>
          </w:p>
        </w:tc>
        <w:tc>
          <w:tcPr>
            <w:tcW w:type="dxa" w:w="2154"/>
            <w:tcMar>
              <w:top w:w="75" w:type="dxa"/>
              <w:left w:w="75" w:type="dxa"/>
              <w:bottom w:w="75" w:type="dxa"/>
              <w:right w:w="75" w:type="dxa"/>
            </w:tcMar>
          </w:tcPr>
          <w:p>
            <w:pPr>
              <w:spacing w:after="40" w:before="40"/>
            </w:pPr>
            <w:r>
              <w:rPr>
                <w:b w:val="0"/>
                <w:sz w:val="20"/>
              </w:rPr>
              <w:t>90.000,00</w:t>
            </w:r>
          </w:p>
        </w:tc>
      </w:tr>
      <w:tr>
        <w:trPr>
          <w:cantSplit/>
        </w:trPr>
        <w:tc>
          <w:tcPr>
            <w:tcW w:type="dxa" w:w="1701"/>
            <w:tcMar>
              <w:top w:w="75" w:type="dxa"/>
              <w:left w:w="75" w:type="dxa"/>
              <w:bottom w:w="75" w:type="dxa"/>
              <w:right w:w="75" w:type="dxa"/>
            </w:tcMar>
          </w:tcPr>
          <w:p>
            <w:pPr>
              <w:spacing w:after="40" w:before="40"/>
            </w:pPr>
            <w:r>
              <w:rPr>
                <w:b w:val="0"/>
                <w:sz w:val="20"/>
              </w:rPr>
              <w:t>6.3</w:t>
            </w:r>
          </w:p>
        </w:tc>
        <w:tc>
          <w:tcPr>
            <w:tcW w:type="dxa" w:w="5839"/>
            <w:tcMar>
              <w:top w:w="75" w:type="dxa"/>
              <w:left w:w="75" w:type="dxa"/>
              <w:bottom w:w="75" w:type="dxa"/>
              <w:right w:w="75" w:type="dxa"/>
            </w:tcMar>
          </w:tcPr>
          <w:p>
            <w:pPr>
              <w:spacing w:after="40" w:before="40"/>
            </w:pPr>
            <w:r>
              <w:rPr>
                <w:b w:val="0"/>
                <w:sz w:val="20"/>
              </w:rPr>
              <w:t>Innentüren</w:t>
            </w:r>
          </w:p>
        </w:tc>
        <w:tc>
          <w:tcPr>
            <w:tcW w:type="dxa" w:w="2154"/>
            <w:tcMar>
              <w:top w:w="75" w:type="dxa"/>
              <w:left w:w="75" w:type="dxa"/>
              <w:bottom w:w="75" w:type="dxa"/>
              <w:right w:w="75" w:type="dxa"/>
            </w:tcMar>
          </w:tcPr>
          <w:p>
            <w:pPr>
              <w:spacing w:after="40" w:before="40"/>
            </w:pPr>
            <w:r>
              <w:rPr>
                <w:b w:val="0"/>
                <w:sz w:val="20"/>
              </w:rPr>
              <w:t>55.000,00</w:t>
            </w:r>
          </w:p>
        </w:tc>
      </w:tr>
      <w:tr>
        <w:trPr>
          <w:cantSplit/>
        </w:trPr>
        <w:tc>
          <w:tcPr>
            <w:tcW w:type="dxa" w:w="1701"/>
            <w:tcMar>
              <w:top w:w="75" w:type="dxa"/>
              <w:left w:w="75" w:type="dxa"/>
              <w:bottom w:w="75" w:type="dxa"/>
              <w:right w:w="75" w:type="dxa"/>
            </w:tcMar>
          </w:tcPr>
          <w:p>
            <w:pPr>
              <w:spacing w:after="40" w:before="40"/>
            </w:pPr>
            <w:r>
              <w:rPr>
                <w:b w:val="0"/>
                <w:sz w:val="20"/>
              </w:rPr>
              <w:t>6.4</w:t>
            </w:r>
          </w:p>
        </w:tc>
        <w:tc>
          <w:tcPr>
            <w:tcW w:type="dxa" w:w="5839"/>
            <w:tcMar>
              <w:top w:w="75" w:type="dxa"/>
              <w:left w:w="75" w:type="dxa"/>
              <w:bottom w:w="75" w:type="dxa"/>
              <w:right w:w="75" w:type="dxa"/>
            </w:tcMar>
          </w:tcPr>
          <w:p>
            <w:pPr>
              <w:spacing w:after="40" w:before="40"/>
            </w:pPr>
            <w:r>
              <w:rPr>
                <w:b w:val="0"/>
                <w:sz w:val="20"/>
              </w:rPr>
              <w:t>Malerarbeiten und Endreinigung</w:t>
            </w:r>
          </w:p>
        </w:tc>
        <w:tc>
          <w:tcPr>
            <w:tcW w:type="dxa" w:w="2154"/>
            <w:tcMar>
              <w:top w:w="75" w:type="dxa"/>
              <w:left w:w="75" w:type="dxa"/>
              <w:bottom w:w="75" w:type="dxa"/>
              <w:right w:w="75" w:type="dxa"/>
            </w:tcMar>
          </w:tcPr>
          <w:p>
            <w:pPr>
              <w:spacing w:after="40" w:before="40"/>
            </w:pPr>
            <w:r>
              <w:rPr>
                <w:b w:val="0"/>
                <w:sz w:val="20"/>
              </w:rPr>
              <w:t>55.000,00</w:t>
            </w:r>
          </w:p>
        </w:tc>
      </w:tr>
      <w:tr>
        <w:trPr>
          <w:cantSplit/>
        </w:trPr>
        <w:tc>
          <w:tcPr>
            <w:tcW w:type="dxa" w:w="1701"/>
            <w:tcMar>
              <w:top w:w="75" w:type="dxa"/>
              <w:left w:w="75" w:type="dxa"/>
              <w:bottom w:w="75" w:type="dxa"/>
              <w:right w:w="75" w:type="dxa"/>
            </w:tcMar>
          </w:tcPr>
          <w:p>
            <w:pPr>
              <w:spacing w:after="40" w:before="40"/>
            </w:pPr>
            <w:r>
              <w:rPr>
                <w:b w:val="0"/>
                <w:sz w:val="20"/>
              </w:rPr>
            </w:r>
          </w:p>
        </w:tc>
        <w:tc>
          <w:tcPr>
            <w:tcW w:type="dxa" w:w="5839"/>
            <w:tcMar>
              <w:top w:w="75" w:type="dxa"/>
              <w:left w:w="75" w:type="dxa"/>
              <w:bottom w:w="75" w:type="dxa"/>
              <w:right w:w="75" w:type="dxa"/>
            </w:tcMar>
          </w:tcPr>
          <w:p>
            <w:pPr>
              <w:spacing w:after="40" w:before="40"/>
            </w:pPr>
            <w:r>
              <w:rPr>
                <w:b w:val="0"/>
                <w:sz w:val="20"/>
              </w:rPr>
              <w:t>Los gesamt</w:t>
            </w:r>
          </w:p>
        </w:tc>
        <w:tc>
          <w:tcPr>
            <w:tcW w:type="dxa" w:w="2154"/>
            <w:tcMar>
              <w:top w:w="75" w:type="dxa"/>
              <w:left w:w="75" w:type="dxa"/>
              <w:bottom w:w="75" w:type="dxa"/>
              <w:right w:w="75" w:type="dxa"/>
            </w:tcMar>
          </w:tcPr>
          <w:p>
            <w:pPr>
              <w:spacing w:after="40" w:before="40"/>
            </w:pPr>
            <w:r>
              <w:rPr>
                <w:b w:val="0"/>
                <w:sz w:val="20"/>
              </w:rPr>
              <w:t>300.000,00</w:t>
            </w:r>
          </w:p>
        </w:tc>
      </w:tr>
    </w:tbl>
    <w:p/>
    <w:p>
      <w:pPr>
        <w:pStyle w:val="Heading1"/>
      </w:pPr>
      <w:r>
        <w:t>3 Anforderungen an Angebot und Ausführung</w:t>
      </w:r>
    </w:p>
    <w:p>
      <w:r>
        <w:t>Angeboten ist die vollständige beschriebene Leistung einschließlich eigener Nebenarbeiten, Schutz und geordneter Dokumentation. Produktvorschläge und Abweichungen sind vor Beschaffung schriftlich mit ihrem Einfluss auf Funktion, Nachweise und Schnittstellen vorzulegen. Gesetzlich erforderliche Nachweise und die anerkannten Regeln der Technik werden projektbezogen geprüft. Produkt- und Verwendungsnachweise müssen das konkret vorgesehene System und den maßgeblichen Ausgabestand erkennen lassen.</w:t>
      </w:r>
    </w:p>
    <w:p>
      <w:r>
        <w:t>Die im Projekt geschlossenen Verträge folgen dem BGB. Aus einer fachüblichen LV-Bezeichnung folgt keine Einbeziehung der VOB/B. Die hier verwendeten Einzelansätze unterstützen Kalkulation und Rechnungsprüfung; sie bewerten weder einen unbestellten Nachtrag noch ersetzen sie die Prüfung einer konkreten Änderungsvereinbarung.</w:t>
      </w:r>
    </w:p>
    <w:p>
      <w:r>
        <w:br w:type="page"/>
      </w:r>
    </w:p>
    <w:p>
      <w:pPr>
        <w:pStyle w:val="Heading1"/>
      </w:pPr>
      <w:r>
        <w:t>5.1.1 Trockenbauwände</w:t>
      </w:r>
    </w:p>
    <w:p>
      <w:r>
        <w:t>Bezug: Ursprungsposition 6.1 Trockenbau und Innenputz. Kalkulation: 400 m² × 90,00 EUR = 36.000,00 EUR netto.</w:t>
      </w:r>
    </w:p>
    <w:p>
      <w:r>
        <w:t>Die nichttragenden Ausbauwände werden mit dem freigegebenen Aufbau errichtet; Befestigungen, Schallentkopplung und Verstärkungen für Einbauten sind vor Beplankung zu koordinieren.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5.1.1. Lieferbelege und Prüfblätter werden dem betreffenden Bauteil zugeordnet; eine Unterschrift über Anlieferung oder Mengenaufnahme enthält keine rechtsgeschäftliche Abnahme der gesamten Vertragsleistung.</w:t>
      </w:r>
    </w:p>
    <w:p>
      <w:pPr>
        <w:pStyle w:val="Heading1"/>
      </w:pPr>
      <w:r>
        <w:t>5.1.2 Innenputz</w:t>
      </w:r>
    </w:p>
    <w:p>
      <w:r>
        <w:t>Bezug: Ursprungsposition 6.1 Trockenbau und Innenputz. Kalkulation: 1600 m² × 22,00 EUR = 35.200,00 EUR netto.</w:t>
      </w:r>
    </w:p>
    <w:p>
      <w:r>
        <w:t>Die vorgesehenen Wandflächen erhalten einen zum Untergrund und zur anschließenden Beschichtung passenden Putz; Feuchte und Saugverhalten werden vor Auftrag geprüft.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5.1.2. Lieferbelege und Prüfblätter werden dem betreffenden Bauteil zugeordnet; eine Unterschrift über Anlieferung oder Mengenaufnahme enthält keine rechtsgeschäftliche Abnahme der gesamten Vertragsleistung.</w:t>
      </w:r>
    </w:p>
    <w:p>
      <w:r>
        <w:br w:type="page"/>
      </w:r>
    </w:p>
    <w:p>
      <w:pPr>
        <w:pStyle w:val="Heading1"/>
      </w:pPr>
      <w:r>
        <w:t>5.1.3 Schachtbekleidungen</w:t>
      </w:r>
    </w:p>
    <w:p>
      <w:r>
        <w:t>Bezug: Ursprungsposition 6.1 Trockenbau und Innenputz. Kalkulation: 80 m² × 140,00 EUR = 11.200,00 EUR netto.</w:t>
      </w:r>
    </w:p>
    <w:p>
      <w:r>
        <w:t>Installationsschächte werden erst nach dokumentierter Leitungs- und Abschottungskontrolle geschlossen; Revisionsöffnungen bleiben zugänglich.</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5.1.3. Lieferbelege und Prüfblätter werden dem betreffenden Bauteil zugeordnet; eine Unterschrift über Anlieferung oder Mengenaufnahme enthält keine rechtsgeschäftliche Abnahme der gesamten Vertragsleistung.</w:t>
      </w:r>
    </w:p>
    <w:p>
      <w:pPr>
        <w:pStyle w:val="Heading1"/>
      </w:pPr>
      <w:r>
        <w:t>5.1.4 Spachtelung von Ausbauflächen</w:t>
      </w:r>
    </w:p>
    <w:p>
      <w:r>
        <w:t>Bezug: Ursprungsposition 6.1 Trockenbau und Innenputz. Kalkulation: 800 m² × 18,00 EUR = 14.400,00 EUR netto.</w:t>
      </w:r>
    </w:p>
    <w:p>
      <w:r>
        <w:t>Die Ausbauflächen werden auf die vereinbarte nachfolgende Beschichtung vorbereitet; streiflichtkritische Bereiche und Musterflächen sind vor Serienausführung abzustimmen.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5.1.4. Lieferbelege und Prüfblätter werden dem betreffenden Bauteil zugeordnet; eine Unterschrift über Anlieferung oder Mengenaufnahme enthält keine rechtsgeschäftliche Abnahme der gesamten Vertragsleistung.</w:t>
      </w:r>
    </w:p>
    <w:p>
      <w:r>
        <w:br w:type="page"/>
      </w:r>
    </w:p>
    <w:p>
      <w:pPr>
        <w:pStyle w:val="Heading1"/>
      </w:pPr>
      <w:r>
        <w:t>5.1.5 Dokumentation verdeckter Bauteile</w:t>
      </w:r>
    </w:p>
    <w:p>
      <w:r>
        <w:t>Bezug: Ursprungsposition 6.1 Trockenbau und Innenputz. Kalkulation: 1 Satz × 3.200,00 EUR = 3.200,00 EUR netto.</w:t>
      </w:r>
    </w:p>
    <w:p>
      <w:r>
        <w:t>Schachtzuordnung, Verstärkungen und verdeckte Anschlüsse werden vor dem Schließen erfasst; die Dokumentation ordnet jeden Befund einem Raum zu.</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5.1.5. Lieferbelege und Prüfblätter werden dem betreffenden Bauteil zugeordnet; eine Unterschrift über Anlieferung oder Mengenaufnahme enthält keine rechtsgeschäftliche Abnahme der gesamten Vertragsleistung.</w:t>
      </w:r>
    </w:p>
    <w:p>
      <w:pPr>
        <w:pStyle w:val="Heading1"/>
      </w:pPr>
      <w:r>
        <w:t>5.2.1 Estrich</w:t>
      </w:r>
    </w:p>
    <w:p>
      <w:r>
        <w:t>Bezug: Ursprungsposition 6.2 Estrich und Bodenbeläge. Kalkulation: 700 m² × 40,00 EUR = 28.000,00 EUR netto.</w:t>
      </w:r>
    </w:p>
    <w:p>
      <w:r>
        <w:t>Estrich wird mit den abgestimmten Randanschlüssen und Fugen auf Wohnungs- und Allgemeinflächen eingebaut; Heizkreise und Schalltrennungen dürfen nicht beschädigt werden.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5.2.1. Lieferbelege und Prüfblätter werden dem betreffenden Bauteil zugeordnet; eine Unterschrift über Anlieferung oder Mengenaufnahme enthält keine rechtsgeschäftliche Abnahme der gesamten Vertragsleistung.</w:t>
      </w:r>
    </w:p>
    <w:p>
      <w:r>
        <w:br w:type="page"/>
      </w:r>
    </w:p>
    <w:p>
      <w:pPr>
        <w:pStyle w:val="Heading1"/>
      </w:pPr>
      <w:r>
        <w:t>5.2.2 Holzboden in Wohnbereichen</w:t>
      </w:r>
    </w:p>
    <w:p>
      <w:r>
        <w:t>Bezug: Ursprungsposition 6.2 Estrich und Bodenbeläge. Kalkulation: 460 m² × 85,00 EUR = 39.100,00 EUR netto.</w:t>
      </w:r>
    </w:p>
    <w:p>
      <w:r>
        <w:t>Die bezeichneten Wohnbereiche erhalten den freigegebenen Holzbelag; für Wohnung 07 ist die vereinbarte Eichenqualität verbindlich und ein Austauschprodukt bedarf vorheriger Zustimmung.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5.2.2. Lieferbelege und Prüfblätter werden dem betreffenden Bauteil zugeordnet; eine Unterschrift über Anlieferung oder Mengenaufnahme enthält keine rechtsgeschäftliche Abnahme der gesamten Vertragsleistung.</w:t>
      </w:r>
    </w:p>
    <w:p>
      <w:pPr>
        <w:pStyle w:val="Heading1"/>
      </w:pPr>
      <w:r>
        <w:t>5.2.3 Fliesenflächen Wohnungen</w:t>
      </w:r>
    </w:p>
    <w:p>
      <w:r>
        <w:t>Bezug: Ursprungsposition 6.2 Estrich und Bodenbeläge. Kalkulation: 140 m² × 85,00 EUR = 11.900,00 EUR netto.</w:t>
      </w:r>
    </w:p>
    <w:p>
      <w:r>
        <w:t>Bäder und die weiteren in der Raumliste bezeichneten Flächen erhalten die bemusterte Fliese mit geeignetem Aufbau und geplanten Anschlüssen.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5.2.3. Lieferbelege und Prüfblätter werden dem betreffenden Bauteil zugeordnet; eine Unterschrift über Anlieferung oder Mengenaufnahme enthält keine rechtsgeschäftliche Abnahme der gesamten Vertragsleistung.</w:t>
      </w:r>
    </w:p>
    <w:p>
      <w:r>
        <w:br w:type="page"/>
      </w:r>
    </w:p>
    <w:p>
      <w:pPr>
        <w:pStyle w:val="Heading1"/>
      </w:pPr>
      <w:r>
        <w:t>5.2.4 Belag Allgemeinflächen</w:t>
      </w:r>
    </w:p>
    <w:p>
      <w:r>
        <w:t>Bezug: Ursprungsposition 6.2 Estrich und Bodenbeläge. Kalkulation: 100 m² × 70,00 EUR = 7.000,00 EUR netto.</w:t>
      </w:r>
    </w:p>
    <w:p>
      <w:r>
        <w:t>Treppen- und allgemeine Verkehrsflächen erhalten den vereinbarten robusten Belag einschließlich planmäßiger Randanschlüsse; die nutzbaren Durchgangsbreiten bleiben erhalten.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5.2.4. Lieferbelege und Prüfblätter werden dem betreffenden Bauteil zugeordnet; eine Unterschrift über Anlieferung oder Mengenaufnahme enthält keine rechtsgeschäftliche Abnahme der gesamten Vertragsleistung.</w:t>
      </w:r>
    </w:p>
    <w:p>
      <w:pPr>
        <w:pStyle w:val="Heading1"/>
      </w:pPr>
      <w:r>
        <w:t>5.2.5 Belegreifemessungen</w:t>
      </w:r>
    </w:p>
    <w:p>
      <w:r>
        <w:t>Bezug: Ursprungsposition 6.2 Estrich und Bodenbeläge. Kalkulation: 8 Wohnung × 500,00 EUR = 4.000,00 EUR netto.</w:t>
      </w:r>
    </w:p>
    <w:p>
      <w:r>
        <w:t>Vor dem Verlegen werden Feuchte und Eignung des Untergrunds an dokumentierten Messstellen geprüft; Freigabeentscheidungen beziehen sich auf Estrichsystem und vorgesehenen Belag.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5.2.5. Lieferbelege und Prüfblätter werden dem betreffenden Bauteil zugeordnet; eine Unterschrift über Anlieferung oder Mengenaufnahme enthält keine rechtsgeschäftliche Abnahme der gesamten Vertragsleistung.</w:t>
      </w:r>
    </w:p>
    <w:p>
      <w:r>
        <w:br w:type="page"/>
      </w:r>
    </w:p>
    <w:p>
      <w:pPr>
        <w:pStyle w:val="Heading1"/>
      </w:pPr>
      <w:r>
        <w:t>5.3.1 Wohnungseingangstüren</w:t>
      </w:r>
    </w:p>
    <w:p>
      <w:r>
        <w:t>Bezug: Ursprungsposition 6.3 Innentüren. Kalkulation: 8 Stück × 2.400,00 EUR = 19.200,00 EUR netto.</w:t>
      </w:r>
    </w:p>
    <w:p>
      <w:r>
        <w:t>Acht Wohnungseingangstüren werden mit den festgelegten Schall- und Schutzanforderungen eingebaut; die geplante lichte Durchgangsbreite von 0,90 m ist nach Einbau nachzuweisen.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5.3.1. Lieferbelege und Prüfblätter werden dem betreffenden Bauteil zugeordnet; eine Unterschrift über Anlieferung oder Mengenaufnahme enthält keine rechtsgeschäftliche Abnahme der gesamten Vertragsleistung.</w:t>
      </w:r>
    </w:p>
    <w:p>
      <w:pPr>
        <w:pStyle w:val="Heading1"/>
      </w:pPr>
      <w:r>
        <w:t>5.3.2 Innentüren</w:t>
      </w:r>
    </w:p>
    <w:p>
      <w:r>
        <w:t>Bezug: Ursprungsposition 6.3 Innentüren. Kalkulation: 40 Stück × 620,00 EUR = 24.800,00 EUR netto.</w:t>
      </w:r>
    </w:p>
    <w:p>
      <w:r>
        <w:t>Innentüren werden gemäß Türliste mit den richtigen Anschlägen und barrierefrei geplanten Durchgängen geliefert; Zargen dürfen Bewegungsflächen nicht unbemerkt verkleinern.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5.3.2. Lieferbelege und Prüfblätter werden dem betreffenden Bauteil zugeordnet; eine Unterschrift über Anlieferung oder Mengenaufnahme enthält keine rechtsgeschäftliche Abnahme der gesamten Vertragsleistung.</w:t>
      </w:r>
    </w:p>
    <w:p>
      <w:r>
        <w:br w:type="page"/>
      </w:r>
    </w:p>
    <w:p>
      <w:pPr>
        <w:pStyle w:val="Heading1"/>
      </w:pPr>
      <w:r>
        <w:t>5.3.3 Besondere Treppenraumtüren</w:t>
      </w:r>
    </w:p>
    <w:p>
      <w:r>
        <w:t>Bezug: Ursprungsposition 6.3 Innentüren. Kalkulation: 3 Stück × 2.200,00 EUR = 6.600,00 EUR netto.</w:t>
      </w:r>
    </w:p>
    <w:p>
      <w:r>
        <w:t>Die drei in der Brandschutz- und Türliste bezeichneten Abschlüsse werden mit dem freigegebenen System einschließlich Beschlägen montiert; Eigenmächtige Kürzungen sind ausgeschlossen.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5.3.3. Lieferbelege und Prüfblätter werden dem betreffenden Bauteil zugeordnet; eine Unterschrift über Anlieferung oder Mengenaufnahme enthält keine rechtsgeschäftliche Abnahme der gesamten Vertragsleistung.</w:t>
      </w:r>
    </w:p>
    <w:p>
      <w:pPr>
        <w:pStyle w:val="Heading1"/>
      </w:pPr>
      <w:r>
        <w:t>5.3.4 Schließanlage</w:t>
      </w:r>
    </w:p>
    <w:p>
      <w:r>
        <w:t>Bezug: Ursprungsposition 6.3 Innentüren. Kalkulation: 1 Anlage × 3.000,00 EUR = 3.000,00 EUR netto.</w:t>
      </w:r>
    </w:p>
    <w:p>
      <w:r>
        <w:t>Schließzylinder und Schlüssel werden nach dem abgestimmten Schließplan zugeordnet; Übergabe und Reserveschlüssel werden quittiert.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5.3.4. Lieferbelege und Prüfblätter werden dem betreffenden Bauteil zugeordnet; eine Unterschrift über Anlieferung oder Mengenaufnahme enthält keine rechtsgeschäftliche Abnahme der gesamten Vertragsleistung.</w:t>
      </w:r>
    </w:p>
    <w:p>
      <w:r>
        <w:br w:type="page"/>
      </w:r>
    </w:p>
    <w:p>
      <w:pPr>
        <w:pStyle w:val="Heading1"/>
      </w:pPr>
      <w:r>
        <w:t>5.3.5 Türeinstellung und Nachkontrolle</w:t>
      </w:r>
    </w:p>
    <w:p>
      <w:r>
        <w:t>Bezug: Ursprungsposition 6.3 Innentüren. Kalkulation: 7 Kontrollabschnitt × 200,00 EUR = 1.400,00 EUR netto.</w:t>
      </w:r>
    </w:p>
    <w:p>
      <w:r>
        <w:t>Die Türen werden in sieben räumlichen Kontrollabschnitten wiederholt auf Freigängigkeit und Schließen geprüft; festgestellte Funktionsabweichungen werden bauteilbezogen abgearbeitet.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5.3.5. Lieferbelege und Prüfblätter werden dem betreffenden Bauteil zugeordnet; eine Unterschrift über Anlieferung oder Mengenaufnahme enthält keine rechtsgeschäftliche Abnahme der gesamten Vertragsleistung.</w:t>
      </w:r>
    </w:p>
    <w:p>
      <w:pPr>
        <w:pStyle w:val="Heading1"/>
      </w:pPr>
      <w:r>
        <w:t>5.4.1 Wand und Deckenanstriche</w:t>
      </w:r>
    </w:p>
    <w:p>
      <w:r>
        <w:t>Bezug: Ursprungsposition 6.4 Malerarbeiten und Endreinigung. Kalkulation: 2700 m² × 12,00 EUR = 32.400,00 EUR netto.</w:t>
      </w:r>
    </w:p>
    <w:p>
      <w:r>
        <w:t>Die vorgesehenen Flächen werden nach abgestimmter Bemusterung beschichtet; Untergrundmängel sind vor Beginn anzuzeigen und nicht durch Beschichtung zu verdecken.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5.4.1. Lieferbelege und Prüfblätter werden dem betreffenden Bauteil zugeordnet; eine Unterschrift über Anlieferung oder Mengenaufnahme enthält keine rechtsgeschäftliche Abnahme der gesamten Vertragsleistung.</w:t>
      </w:r>
    </w:p>
    <w:p>
      <w:r>
        <w:br w:type="page"/>
      </w:r>
    </w:p>
    <w:p>
      <w:pPr>
        <w:pStyle w:val="Heading1"/>
      </w:pPr>
      <w:r>
        <w:t>5.4.2 Elastische Ausbauanschlüsse</w:t>
      </w:r>
    </w:p>
    <w:p>
      <w:r>
        <w:t>Bezug: Ursprungsposition 6.4 Malerarbeiten und Endreinigung. Kalkulation: 320 m × 20,00 EUR = 6.400,00 EUR netto.</w:t>
      </w:r>
    </w:p>
    <w:p>
      <w:r>
        <w:t>Die zum Ausbau gehörenden Bewegungsfugen werden mit geeigneten Materialien hergestellt und im Wartungsplan verortet; Abdichtungsfugen anderer Gewerke bleiben getrennt.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5.4.2. Lieferbelege und Prüfblätter werden dem betreffenden Bauteil zugeordnet; eine Unterschrift über Anlieferung oder Mengenaufnahme enthält keine rechtsgeschäftliche Abnahme der gesamten Vertragsleistung.</w:t>
      </w:r>
    </w:p>
    <w:p>
      <w:pPr>
        <w:pStyle w:val="Heading1"/>
      </w:pPr>
      <w:r>
        <w:t>5.4.3 Lackierung Ausbauflächen</w:t>
      </w:r>
    </w:p>
    <w:p>
      <w:r>
        <w:t>Bezug: Ursprungsposition 6.4 Malerarbeiten und Endreinigung. Kalkulation: 40 Stück × 120,00 EUR = 4.800,00 EUR netto.</w:t>
      </w:r>
    </w:p>
    <w:p>
      <w:r>
        <w:t>Die bezeichneten Bauteile erhalten die abgestimmte Lackoberfläche; Beschläge und funktionsrelevante Dichtungen werden dabei geschützt.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5.4.3. Lieferbelege und Prüfblätter werden dem betreffenden Bauteil zugeordnet; eine Unterschrift über Anlieferung oder Mengenaufnahme enthält keine rechtsgeschäftliche Abnahme der gesamten Vertragsleistung.</w:t>
      </w:r>
    </w:p>
    <w:p>
      <w:r>
        <w:br w:type="page"/>
      </w:r>
    </w:p>
    <w:p>
      <w:pPr>
        <w:pStyle w:val="Heading1"/>
      </w:pPr>
      <w:r>
        <w:t>5.4.4 Endreinigung</w:t>
      </w:r>
    </w:p>
    <w:p>
      <w:r>
        <w:t>Bezug: Ursprungsposition 6.4 Malerarbeiten und Endreinigung. Kalkulation: 820 m² × 10,00 EUR = 8.200,00 EUR netto.</w:t>
      </w:r>
    </w:p>
    <w:p>
      <w:r>
        <w:t>Alle beauftragten Innenflächen werden materialgerecht gereinigt und kontrollierbar übergeben; die Bezugsgröße ist die Brutto-Grundfläche und nicht die Wohnfläche.</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5.4.4. Lieferbelege und Prüfblätter werden dem betreffenden Bauteil zugeordnet; eine Unterschrift über Anlieferung oder Mengenaufnahme enthält keine rechtsgeschäftliche Abnahme der gesamten Vertragsleistung.</w:t>
      </w:r>
    </w:p>
    <w:p>
      <w:pPr>
        <w:pStyle w:val="Heading1"/>
      </w:pPr>
      <w:r>
        <w:t>5.4.5 Schutz fertiger Oberflächen</w:t>
      </w:r>
    </w:p>
    <w:p>
      <w:r>
        <w:t>Bezug: Ursprungsposition 6.4 Malerarbeiten und Endreinigung. Kalkulation: 1600 m² × 2,00 EUR = 3.200,00 EUR netto.</w:t>
      </w:r>
    </w:p>
    <w:p>
      <w:r>
        <w:t>Fertige Oberflächen werden während eigener Folgearbeiten geschützt und die Schutzabdeckungen rechtzeitig vor der gemeinsamen Sichtprüfung entfernt.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5.4.5. Lieferbelege und Prüfblätter werden dem betreffenden Bauteil zugeordnet; eine Unterschrift über Anlieferung oder Mengenaufnahme enthält keine rechtsgeschäftliche Abnahme der gesamten Vertragsleistung.</w:t>
      </w:r>
    </w:p>
    <w:p>
      <w:r>
        <w:t>Geprüft für die technische Koordination: Nora Feld. Kalkulation erläutert durch die Bauleitung des Auftragnehmers. Die Bauherrin hält an der vereinbarten Lospauschale fest.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Detailleistungsverzeichnis Los 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