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6</w:t>
      </w:r>
    </w:p>
    <w:p>
      <w:r>
        <w:t>Übergabe Rohbau an Folgegewerke · 28.04.2028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sichtbaren Wand- und Deckenabschnitte, die Fensteröffnungen und die freigehaltenen Leitungsdurchführungen wurden mit den beteiligten Bauleitungen begangen.</w:t>
      </w:r>
    </w:p>
    <w:p>
      <w:pPr>
        <w:pStyle w:val="Heading1"/>
      </w:pPr>
      <w:r>
        <w:t>3 Weitere Ausführung</w:t>
      </w:r>
    </w:p>
    <w:p>
      <w:r>
        <w:t>Die Übergabe ermöglicht die weitere Ausführung. Sie ist keine rechtsgeschäftliche Abnahme des Rohbauvertrags und keine pauschale Bestätigung verdeckter Bauteile.</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