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7</w:t>
      </w:r>
    </w:p>
    <w:p>
      <w:r>
        <w:t>Fenstermontage und Anschlussfugen · 12.05.2028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Die 48 Fenster sind nach den drei Lieferabschnitten zugeordnet. Stichproben erfassen die erreichbaren inneren Anschlussbänder und die äußeren Fensterbankbereiche. Der Befund M-003 ist nachkontrolliert.</w:t>
      </w:r>
    </w:p>
    <w:p>
      <w:r>
        <w:t>Im zugehörigen Befundregister werden geführt: M-003 Anschlussband Fenster WE 03. Die einzelne Mängelzuordnung und die gesonderten Nachkontrollen bleiben maßgeblich.</w:t>
      </w:r>
    </w:p>
    <w:p>
      <w:pPr>
        <w:pStyle w:val="Heading1"/>
      </w:pPr>
      <w:r>
        <w:t>3 Weitere Ausführung</w:t>
      </w:r>
    </w:p>
    <w:p>
      <w:r>
        <w:t>Bekleidungen dürfen nur die tatsächlich geprüften Bereiche schließen. Weitere Anschlüsse werden in der laufenden Hüllenkontrolle verfolgt.</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7</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