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9</w:t>
      </w:r>
    </w:p>
    <w:p>
      <w:r>
        <w:t>Technik vor Estrich und Schachtschluss · 30.06.2028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Rohinstallation ist den Wohnungen und Schächten zugeordnet. Die Revisionsöffnung der WE 04 ist zugänglich; Rohrlagen, Verteiler und Durchführungen wurden vor dem Verdecken dokumentiert.</w:t>
      </w:r>
    </w:p>
    <w:p>
      <w:r>
        <w:t>Im zugehörigen Befundregister werden geführt: M-005 Revisionsöffnung WE 04. Die einzelne Mängelzuordnung und die gesonderten Nachkontrollen bleiben maßgeblich.</w:t>
      </w:r>
    </w:p>
    <w:p>
      <w:pPr>
        <w:pStyle w:val="Heading1"/>
      </w:pPr>
      <w:r>
        <w:t>3 Weitere Ausführung</w:t>
      </w:r>
    </w:p>
    <w:p>
      <w:r>
        <w:t>Die anlagenspezifische Rohrnetzprüfung und die Belegreifefreigabe sind jeweils getrennt zu dokumentieren. Eine baubegleitende Sichtprüfung ist keine elektrische oder hygienische Endprüfung.</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9</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