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13</w:t>
      </w:r>
    </w:p>
    <w:p>
      <w:r>
        <w:t>Vorbegehung vor den Bauabnahmen · 10.09.2028</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Die ruhige Besichtigung mit vier Beteiligten erfasst Türfunktion im ersten Obergeschoss, Fensterbankablauf der WE 05 und die abweichende Belagsqualität der WE 07. Gewerbliche Bauarbeiten wurden am Sonntag nicht ausgeführt.</w:t>
      </w:r>
    </w:p>
    <w:p>
      <w:pPr>
        <w:pStyle w:val="Heading1"/>
      </w:pPr>
      <w:r>
        <w:t>3 Weitere Ausführung</w:t>
      </w:r>
    </w:p>
    <w:p>
      <w:r>
        <w:t>Die Bauherrin erhält drei getrennte Befunde zur schriftlichen Mitteilung. Keine Teilabnahme oder Vergütungsvereinbarung wird in dieser Vorbegehung erklärt.</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13</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