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15</w:t>
      </w:r>
    </w:p>
    <w:p>
      <w:r>
        <w:t>Gebäudeunterlagen und Betreiberübergabe · 22.09.2028</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Pläne, Anlagenprüfungen, Bedienhinweise und Zählerzuordnung wurden mit der Verwaltung durchgesehen. Der Belagsvorgang WE 07 sowie der Elektro-Zahlungsabgleich bleiben als getrennte offene Vorgänge vermerkt.</w:t>
      </w:r>
    </w:p>
    <w:p>
      <w:r>
        <w:t>Im zugehörigen Befundregister werden geführt: M-011 Abweichender Holzbelag WE 07. Die einzelne Mängelzuordnung und die gesonderten Nachkontrollen bleiben maßgeblich.</w:t>
      </w:r>
    </w:p>
    <w:p>
      <w:pPr>
        <w:pStyle w:val="Heading1"/>
      </w:pPr>
      <w:r>
        <w:t>3 Weitere Ausführung</w:t>
      </w:r>
    </w:p>
    <w:p>
      <w:r>
        <w:t>Die Verwaltung erhält die Wartungszuständigkeiten und bereitet die acht Wohnungsübergaben vor. Die Übergabe des Unterlagensatzes ist keine zusätzliche Bau- oder Architektenabnahme.</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15</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