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Befund M-004</w:t>
      </w:r>
    </w:p>
    <w:p>
      <w:r>
        <w:t>Beschriftung Verteilung WE 02 · 21.06.2028</w:t>
      </w:r>
    </w:p>
    <w:p>
      <w:pPr>
        <w:pStyle w:val="Heading1"/>
      </w:pPr>
      <w:r>
        <w:t>1 Bauteil und Beteiligte</w:t>
      </w:r>
    </w:p>
    <w:p>
      <w:r>
        <w:t>Der Vorgang betrifft WE 02 Wohnungsverteilung im Projekt SW-HI-26-08. Zuständiges Gewerk ist Lichtkreis Elektro GmbH; für die laufende Ausführung ist Wilhelm Fischer benannt. Nora Feld führt die technische Abstimmung, Hans Müller hält den sichtbaren Zustand fest. Rechtsgeschäftliche Entscheidungen trifft die Bauherrin.</w:t>
      </w:r>
    </w:p>
    <w:p>
      <w:pPr>
        <w:pStyle w:val="Heading1"/>
      </w:pPr>
      <w:r>
        <w:t>2 Festgestellter Zustand</w:t>
      </w:r>
    </w:p>
    <w:p>
      <w:r>
        <w:t>Zwei vorbereitete Stromkreisbezeichnungen waren vertauscht; die Anlage war noch nicht für die Nutzung freigegeben.</w:t>
      </w:r>
    </w:p>
    <w:p>
      <w:pPr>
        <w:pStyle w:val="Heading1"/>
      </w:pPr>
      <w:r>
        <w:t>3 Maßnahme und Zuordnung</w:t>
      </w:r>
    </w:p>
    <w:p>
      <w:r>
        <w:t>Wilhelm Fischer soll den Kennzeichnungsplan mit der Leitungszuordnung abgleichen und die betroffenen Beschriftungen berichtigen.</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Befund bleibt bis zur dokumentierten Nachkontrolle beziehungsweise einer ausdrücklichen vertraglichen Regelung offen. Die gesetzten Arbeitsschritte werden mit dem Bauablauf koordiniert; eine bestrittene Ursache wird nicht als abschließend bewiesen behandelt.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Befund M-004</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