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M-010</w:t>
      </w:r>
    </w:p>
    <w:p>
      <w:r>
        <w:t>Fensterbank WE 05 vor Abnahme · 11.09.2028</w:t>
      </w:r>
    </w:p>
    <w:p>
      <w:pPr>
        <w:pStyle w:val="Heading1"/>
      </w:pPr>
      <w:r>
        <w:t>1 Bauteil und Beteiligte</w:t>
      </w:r>
    </w:p>
    <w:p>
      <w:r>
        <w:t>Der Vorgang betrifft WE 05 Wohnzimmerfenster Nord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Der sichtbare Fensterbankablauf fiel in der Vorbegehung auf. Der örtliche Anschluss war für eine weitere Prüfung zu öffnen; eine abschließende Aussage über verdeckte Ursachen lag nicht vor.</w:t>
      </w:r>
    </w:p>
    <w:p>
      <w:pPr>
        <w:pStyle w:val="Heading1"/>
      </w:pPr>
      <w:r>
        <w:t>3 Maßnahme und Zuordnung</w:t>
      </w:r>
    </w:p>
    <w:p>
      <w:r>
        <w:t>Dachraum soll den sichtbaren Anschluss öffnen, die Wasserführung prüfen und die Maßnahme bauteilbezogen dokumentieren.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M-010</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