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Liefer und Empfangsbeleg LB-001</w:t>
      </w:r>
    </w:p>
    <w:p>
      <w:r>
        <w:t>Bauzaunelemente und Tor · 01.12.2027</w:t>
      </w:r>
    </w:p>
    <w:p>
      <w:pPr>
        <w:pStyle w:val="Heading1"/>
      </w:pPr>
      <w:r>
        <w:t>1 Lieferung und Leistungsbezug</w:t>
      </w:r>
    </w:p>
    <w:p>
      <w:r>
        <w:t>Steinwerk Hochbau GmbH dokumentiert die Anlieferung für das Projekt SW-HI-26-08. Empfangen wurden 145 m Bauzaunelemente und Tor für den Bereich Nordwestlicher Baustellenzugang. Der Vorgang ist der Detailposition 1.1.1 zugeordnet.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7427"/>
      </w:tblGrid>
      <w:tr>
        <w:trPr>
          <w:cantSplit/>
          <w:tblHeader/>
        </w:trPr>
        <w:tc>
          <w:tcPr>
            <w:tcW w:type="dxa" w:w="2268"/>
            <w:tcMar>
              <w:top w:w="75" w:type="dxa"/>
              <w:left w:w="75" w:type="dxa"/>
              <w:bottom w:w="75" w:type="dxa"/>
              <w:right w:w="75" w:type="dxa"/>
            </w:tcMar>
            <w:shd w:fill="E8EDF0"/>
          </w:tcPr>
          <w:p>
            <w:pPr>
              <w:spacing w:after="40" w:before="40"/>
            </w:pPr>
            <w:r>
              <w:rPr>
                <w:b/>
                <w:sz w:val="20"/>
              </w:rPr>
              <w:t>Merkmal</w:t>
            </w:r>
          </w:p>
        </w:tc>
        <w:tc>
          <w:tcPr>
            <w:tcW w:type="dxa" w:w="7427"/>
            <w:tcMar>
              <w:top w:w="75" w:type="dxa"/>
              <w:left w:w="75" w:type="dxa"/>
              <w:bottom w:w="75" w:type="dxa"/>
              <w:right w:w="75" w:type="dxa"/>
            </w:tcMar>
            <w:shd w:fill="E8EDF0"/>
          </w:tcPr>
          <w:p>
            <w:pPr>
              <w:spacing w:after="40" w:before="40"/>
            </w:pPr>
            <w:r>
              <w:rPr>
                <w:b/>
                <w:sz w:val="20"/>
              </w:rPr>
              <w:t>Feststellung</w:t>
            </w:r>
          </w:p>
        </w:tc>
      </w:tr>
      <w:tr>
        <w:trPr>
          <w:cantSplit/>
        </w:trPr>
        <w:tc>
          <w:tcPr>
            <w:tcW w:type="dxa" w:w="2268"/>
            <w:tcMar>
              <w:top w:w="75" w:type="dxa"/>
              <w:left w:w="75" w:type="dxa"/>
              <w:bottom w:w="75" w:type="dxa"/>
              <w:right w:w="75" w:type="dxa"/>
            </w:tcMar>
          </w:tcPr>
          <w:p>
            <w:pPr>
              <w:spacing w:after="40" w:before="40"/>
            </w:pPr>
            <w:r>
              <w:rPr>
                <w:b w:val="0"/>
                <w:sz w:val="20"/>
              </w:rPr>
              <w:t>Anlieferung</w:t>
            </w:r>
          </w:p>
        </w:tc>
        <w:tc>
          <w:tcPr>
            <w:tcW w:type="dxa" w:w="7427"/>
            <w:tcMar>
              <w:top w:w="75" w:type="dxa"/>
              <w:left w:w="75" w:type="dxa"/>
              <w:bottom w:w="75" w:type="dxa"/>
              <w:right w:w="75" w:type="dxa"/>
            </w:tcMar>
          </w:tcPr>
          <w:p>
            <w:pPr>
              <w:spacing w:after="40" w:before="40"/>
            </w:pPr>
            <w:r>
              <w:rPr>
                <w:b w:val="0"/>
                <w:sz w:val="20"/>
              </w:rPr>
              <w:t>01.12.2027</w:t>
            </w:r>
          </w:p>
        </w:tc>
      </w:tr>
      <w:tr>
        <w:trPr>
          <w:cantSplit/>
        </w:trPr>
        <w:tc>
          <w:tcPr>
            <w:tcW w:type="dxa" w:w="2268"/>
            <w:tcMar>
              <w:top w:w="75" w:type="dxa"/>
              <w:left w:w="75" w:type="dxa"/>
              <w:bottom w:w="75" w:type="dxa"/>
              <w:right w:w="75" w:type="dxa"/>
            </w:tcMar>
          </w:tcPr>
          <w:p>
            <w:pPr>
              <w:spacing w:after="40" w:before="40"/>
            </w:pPr>
            <w:r>
              <w:rPr>
                <w:b w:val="0"/>
                <w:sz w:val="20"/>
              </w:rPr>
              <w:t>Bauvorhaben</w:t>
            </w:r>
          </w:p>
        </w:tc>
        <w:tc>
          <w:tcPr>
            <w:tcW w:type="dxa" w:w="7427"/>
            <w:tcMar>
              <w:top w:w="75" w:type="dxa"/>
              <w:left w:w="75" w:type="dxa"/>
              <w:bottom w:w="75" w:type="dxa"/>
              <w:right w:w="75" w:type="dxa"/>
            </w:tcMar>
          </w:tcPr>
          <w:p>
            <w:pPr>
              <w:spacing w:after="40" w:before="40"/>
            </w:pPr>
            <w:r>
              <w:rPr>
                <w:b w:val="0"/>
                <w:sz w:val="20"/>
              </w:rPr>
              <w:t>Achtfamilienhaus Hildesheim</w:t>
            </w:r>
          </w:p>
        </w:tc>
      </w:tr>
      <w:tr>
        <w:trPr>
          <w:cantSplit/>
        </w:trPr>
        <w:tc>
          <w:tcPr>
            <w:tcW w:type="dxa" w:w="2268"/>
            <w:tcMar>
              <w:top w:w="75" w:type="dxa"/>
              <w:left w:w="75" w:type="dxa"/>
              <w:bottom w:w="75" w:type="dxa"/>
              <w:right w:w="75" w:type="dxa"/>
            </w:tcMar>
          </w:tcPr>
          <w:p>
            <w:pPr>
              <w:spacing w:after="40" w:before="40"/>
            </w:pPr>
            <w:r>
              <w:rPr>
                <w:b w:val="0"/>
                <w:sz w:val="20"/>
              </w:rPr>
              <w:t>Menge und Einheit</w:t>
            </w:r>
          </w:p>
        </w:tc>
        <w:tc>
          <w:tcPr>
            <w:tcW w:type="dxa" w:w="7427"/>
            <w:tcMar>
              <w:top w:w="75" w:type="dxa"/>
              <w:left w:w="75" w:type="dxa"/>
              <w:bottom w:w="75" w:type="dxa"/>
              <w:right w:w="75" w:type="dxa"/>
            </w:tcMar>
          </w:tcPr>
          <w:p>
            <w:pPr>
              <w:spacing w:after="40" w:before="40"/>
            </w:pPr>
            <w:r>
              <w:rPr>
                <w:b w:val="0"/>
                <w:sz w:val="20"/>
              </w:rPr>
              <w:t>145 m</w:t>
            </w:r>
          </w:p>
        </w:tc>
      </w:tr>
      <w:tr>
        <w:trPr>
          <w:cantSplit/>
        </w:trPr>
        <w:tc>
          <w:tcPr>
            <w:tcW w:type="dxa" w:w="2268"/>
            <w:tcMar>
              <w:top w:w="75" w:type="dxa"/>
              <w:left w:w="75" w:type="dxa"/>
              <w:bottom w:w="75" w:type="dxa"/>
              <w:right w:w="75" w:type="dxa"/>
            </w:tcMar>
          </w:tcPr>
          <w:p>
            <w:pPr>
              <w:spacing w:after="40" w:before="40"/>
            </w:pPr>
            <w:r>
              <w:rPr>
                <w:b w:val="0"/>
                <w:sz w:val="20"/>
              </w:rPr>
              <w:t>Empfang</w:t>
            </w:r>
          </w:p>
        </w:tc>
        <w:tc>
          <w:tcPr>
            <w:tcW w:type="dxa" w:w="7427"/>
            <w:tcMar>
              <w:top w:w="75" w:type="dxa"/>
              <w:left w:w="75" w:type="dxa"/>
              <w:bottom w:w="75" w:type="dxa"/>
              <w:right w:w="75" w:type="dxa"/>
            </w:tcMar>
          </w:tcPr>
          <w:p>
            <w:pPr>
              <w:spacing w:after="40" w:before="40"/>
            </w:pPr>
            <w:r>
              <w:rPr>
                <w:b w:val="0"/>
                <w:sz w:val="20"/>
              </w:rPr>
              <w:t>Georg Schmidt</w:t>
            </w:r>
          </w:p>
        </w:tc>
      </w:tr>
      <w:tr>
        <w:trPr>
          <w:cantSplit/>
        </w:trPr>
        <w:tc>
          <w:tcPr>
            <w:tcW w:type="dxa" w:w="2268"/>
            <w:tcMar>
              <w:top w:w="75" w:type="dxa"/>
              <w:left w:w="75" w:type="dxa"/>
              <w:bottom w:w="75" w:type="dxa"/>
              <w:right w:w="75" w:type="dxa"/>
            </w:tcMar>
          </w:tcPr>
          <w:p>
            <w:pPr>
              <w:spacing w:after="40" w:before="40"/>
            </w:pPr>
            <w:r>
              <w:rPr>
                <w:b w:val="0"/>
                <w:sz w:val="20"/>
              </w:rPr>
              <w:t>Belegbezug</w:t>
            </w:r>
          </w:p>
        </w:tc>
        <w:tc>
          <w:tcPr>
            <w:tcW w:type="dxa" w:w="7427"/>
            <w:tcMar>
              <w:top w:w="75" w:type="dxa"/>
              <w:left w:w="75" w:type="dxa"/>
              <w:bottom w:w="75" w:type="dxa"/>
              <w:right w:w="75" w:type="dxa"/>
            </w:tcMar>
          </w:tcPr>
          <w:p>
            <w:pPr>
              <w:spacing w:after="40" w:before="40"/>
            </w:pPr>
            <w:r>
              <w:rPr>
                <w:b w:val="0"/>
                <w:sz w:val="20"/>
              </w:rPr>
              <w:t>LB-001 / Tagesbericht 2027-12-01</w:t>
            </w:r>
          </w:p>
        </w:tc>
      </w:tr>
    </w:tbl>
    <w:p/>
    <w:p>
      <w:pPr>
        <w:pStyle w:val="Heading1"/>
      </w:pPr>
      <w:r>
        <w:t>2 Empfangskontrolle</w:t>
      </w:r>
    </w:p>
    <w:p>
      <w:r>
        <w:t>Elemente auf Vollständigkeit und sichtbare Schäden geprüft; Tor gesondert gekennzeichnet.</w:t>
      </w:r>
    </w:p>
    <w:p>
      <w:r>
        <w:t>Der Empfang bestätigt die bezeichnete Menge und den bei Anlieferung sichtbaren Zustand. Verdeckte Produkteigenschaften und die spätere Eignung des eingebauten Systems werden damit nicht abschließend bestätigt. Beanstandete oder noch nicht freigegebene Teile sind getrennt zu halten und vor Einbau mit der Bauleitung zu klären.</w:t>
      </w:r>
    </w:p>
    <w:p>
      <w:pPr>
        <w:pStyle w:val="Heading1"/>
      </w:pPr>
      <w:r>
        <w:t>3 Kaufmännische Abgrenzung</w:t>
      </w:r>
    </w:p>
    <w:p>
      <w:r>
        <w:t>Dieser Beleg ist keine zusätzliche Rechnung an die Bauherrin und löst keine weitere Vergütung neben dem bestehenden Bauvertrag aus. Materiallieferungen des beauftragten Unternehmens sind bereits in dessen Leistungsumfang enthalten. Die Mengen dienen dem Abgleich von Lieferung, Einbau und den vereinbarten Abschlagsständen; Doppelbuchungen sind ausgeschlossen.</w:t>
      </w:r>
    </w:p>
    <w:p>
      <w:r>
        <w:t>Empfang dokumentiert: gez. Georg Schmidt. In das Projektarchiv übernommen: gez. Hans Müller.</w:t>
      </w:r>
    </w:p>
    <w:sectPr w:rsidR="00FC693F" w:rsidRPr="0006063C" w:rsidSect="00034616">
      <w:headerReference w:type="default" r:id="rId9"/>
      <w:footerReference w:type="default" r:id="rId10"/>
      <w:pgSz w:w="11906" w:h="16838"/>
      <w:pgMar w:top="850" w:right="1077" w:bottom="879" w:left="1077" w:header="369"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Konturfeld Architektur · Projektakte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Wohnhof Am Steinbogen 18 · Hildesheim · SW-HI-26-08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5"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line="245" w:lineRule="auto"/>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40" w:line="245"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45"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20" w:line="245"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20" w:line="245"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20" w:line="245"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20" w:line="245"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20" w:line="245"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5"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5"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5" w:lineRule="auto" w:before="18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45"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20" w:line="245"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45"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20" w:line="245"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20" w:line="245"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20" w:line="245"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20" w:line="245"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20" w:line="245"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20" w:line="245"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20" w:line="245"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20" w:line="245"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20" w:line="245"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20" w:line="245"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20" w:line="245"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20" w:line="245"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20" w:line="245"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20" w:line="245"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5" w:lineRule="auto" w:after="12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20" w:line="245"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20" w:line="245"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Liefer und Empfangsbeleg LB-001</dc:title>
  <dc:subject/>
  <dc:creator>Klotzkette</dc:creator>
  <cp:keywords/>
  <dc:description>generated by python-docx</dc:description>
  <cp:lastModifiedBy>Klotzkette</cp:lastModifiedBy>
  <cp:revision>1</cp:revision>
  <dcterms:created xsi:type="dcterms:W3CDTF">2026-09-28T00:00:00Z</dcterms:created>
  <dcterms:modified xsi:type="dcterms:W3CDTF">2026-09-28T00:00:00Z</dcterms:modified>
  <cp:category/>
  <dc:language>de-DE</dc:language>
</cp:coreProperties>
</file>