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Liefer und Empfangsbeleg LB-023</w:t>
      </w:r>
    </w:p>
    <w:p>
      <w:r>
        <w:t>Aufzugkabine und Antrieb · 17.07.2028</w:t>
      </w:r>
    </w:p>
    <w:p>
      <w:pPr>
        <w:pStyle w:val="Heading1"/>
      </w:pPr>
      <w:r>
        <w:t>1 Lieferung und Leistungsbezug</w:t>
      </w:r>
    </w:p>
    <w:p>
      <w:r>
        <w:t>Hubpunkt Aufzüge GmbH dokumentiert die Anlieferung für das Projekt SW-HI-26-08. Empfangen wurden 1 Stück Aufzugkabine und Antrieb für den Bereich Gesicherter Montagebereich. Der Vorgang ist der Detailposition 6.1.2 zugeordnet.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27"/>
      </w:tblGrid>
      <w:tr>
        <w:trPr>
          <w:cantSplit/>
          <w:tblHeader/>
        </w:trPr>
        <w:tc>
          <w:tcPr>
            <w:tcW w:type="dxa" w:w="2268"/>
            <w:tcMar>
              <w:top w:w="75" w:type="dxa"/>
              <w:left w:w="75" w:type="dxa"/>
              <w:bottom w:w="75" w:type="dxa"/>
              <w:right w:w="75" w:type="dxa"/>
            </w:tcMar>
            <w:shd w:fill="E8EDF0"/>
          </w:tcPr>
          <w:p>
            <w:pPr>
              <w:spacing w:after="40" w:before="40"/>
            </w:pPr>
            <w:r>
              <w:rPr>
                <w:b/>
                <w:sz w:val="20"/>
              </w:rPr>
              <w:t>Merkmal</w:t>
            </w:r>
          </w:p>
        </w:tc>
        <w:tc>
          <w:tcPr>
            <w:tcW w:type="dxa" w:w="7427"/>
            <w:tcMar>
              <w:top w:w="75" w:type="dxa"/>
              <w:left w:w="75" w:type="dxa"/>
              <w:bottom w:w="75" w:type="dxa"/>
              <w:right w:w="75" w:type="dxa"/>
            </w:tcMar>
            <w:shd w:fill="E8EDF0"/>
          </w:tcPr>
          <w:p>
            <w:pPr>
              <w:spacing w:after="40" w:before="40"/>
            </w:pPr>
            <w:r>
              <w:rPr>
                <w:b/>
                <w:sz w:val="20"/>
              </w:rPr>
              <w:t>Feststellung</w:t>
            </w:r>
          </w:p>
        </w:tc>
      </w:tr>
      <w:tr>
        <w:trPr>
          <w:cantSplit/>
        </w:trPr>
        <w:tc>
          <w:tcPr>
            <w:tcW w:type="dxa" w:w="2268"/>
            <w:tcMar>
              <w:top w:w="75" w:type="dxa"/>
              <w:left w:w="75" w:type="dxa"/>
              <w:bottom w:w="75" w:type="dxa"/>
              <w:right w:w="75" w:type="dxa"/>
            </w:tcMar>
          </w:tcPr>
          <w:p>
            <w:pPr>
              <w:spacing w:after="40" w:before="40"/>
            </w:pPr>
            <w:r>
              <w:rPr>
                <w:b w:val="0"/>
                <w:sz w:val="20"/>
              </w:rPr>
              <w:t>Anlieferung</w:t>
            </w:r>
          </w:p>
        </w:tc>
        <w:tc>
          <w:tcPr>
            <w:tcW w:type="dxa" w:w="7427"/>
            <w:tcMar>
              <w:top w:w="75" w:type="dxa"/>
              <w:left w:w="75" w:type="dxa"/>
              <w:bottom w:w="75" w:type="dxa"/>
              <w:right w:w="75" w:type="dxa"/>
            </w:tcMar>
          </w:tcPr>
          <w:p>
            <w:pPr>
              <w:spacing w:after="40" w:before="40"/>
            </w:pPr>
            <w:r>
              <w:rPr>
                <w:b w:val="0"/>
                <w:sz w:val="20"/>
              </w:rPr>
              <w:t>17.07.2028</w:t>
            </w:r>
          </w:p>
        </w:tc>
      </w:tr>
      <w:tr>
        <w:trPr>
          <w:cantSplit/>
        </w:trPr>
        <w:tc>
          <w:tcPr>
            <w:tcW w:type="dxa" w:w="2268"/>
            <w:tcMar>
              <w:top w:w="75" w:type="dxa"/>
              <w:left w:w="75" w:type="dxa"/>
              <w:bottom w:w="75" w:type="dxa"/>
              <w:right w:w="75" w:type="dxa"/>
            </w:tcMar>
          </w:tcPr>
          <w:p>
            <w:pPr>
              <w:spacing w:after="40" w:before="40"/>
            </w:pPr>
            <w:r>
              <w:rPr>
                <w:b w:val="0"/>
                <w:sz w:val="20"/>
              </w:rPr>
              <w:t>Bauvorhaben</w:t>
            </w:r>
          </w:p>
        </w:tc>
        <w:tc>
          <w:tcPr>
            <w:tcW w:type="dxa" w:w="7427"/>
            <w:tcMar>
              <w:top w:w="75" w:type="dxa"/>
              <w:left w:w="75" w:type="dxa"/>
              <w:bottom w:w="75" w:type="dxa"/>
              <w:right w:w="75" w:type="dxa"/>
            </w:tcMar>
          </w:tcPr>
          <w:p>
            <w:pPr>
              <w:spacing w:after="40" w:before="40"/>
            </w:pPr>
            <w:r>
              <w:rPr>
                <w:b w:val="0"/>
                <w:sz w:val="20"/>
              </w:rPr>
              <w:t>Achtfamilienhaus Hildesheim</w:t>
            </w:r>
          </w:p>
        </w:tc>
      </w:tr>
      <w:tr>
        <w:trPr>
          <w:cantSplit/>
        </w:trPr>
        <w:tc>
          <w:tcPr>
            <w:tcW w:type="dxa" w:w="2268"/>
            <w:tcMar>
              <w:top w:w="75" w:type="dxa"/>
              <w:left w:w="75" w:type="dxa"/>
              <w:bottom w:w="75" w:type="dxa"/>
              <w:right w:w="75" w:type="dxa"/>
            </w:tcMar>
          </w:tcPr>
          <w:p>
            <w:pPr>
              <w:spacing w:after="40" w:before="40"/>
            </w:pPr>
            <w:r>
              <w:rPr>
                <w:b w:val="0"/>
                <w:sz w:val="20"/>
              </w:rPr>
              <w:t>Menge und Einheit</w:t>
            </w:r>
          </w:p>
        </w:tc>
        <w:tc>
          <w:tcPr>
            <w:tcW w:type="dxa" w:w="7427"/>
            <w:tcMar>
              <w:top w:w="75" w:type="dxa"/>
              <w:left w:w="75" w:type="dxa"/>
              <w:bottom w:w="75" w:type="dxa"/>
              <w:right w:w="75" w:type="dxa"/>
            </w:tcMar>
          </w:tcPr>
          <w:p>
            <w:pPr>
              <w:spacing w:after="40" w:before="40"/>
            </w:pPr>
            <w:r>
              <w:rPr>
                <w:b w:val="0"/>
                <w:sz w:val="20"/>
              </w:rPr>
              <w:t>1 Stück</w:t>
            </w:r>
          </w:p>
        </w:tc>
      </w:tr>
      <w:tr>
        <w:trPr>
          <w:cantSplit/>
        </w:trPr>
        <w:tc>
          <w:tcPr>
            <w:tcW w:type="dxa" w:w="2268"/>
            <w:tcMar>
              <w:top w:w="75" w:type="dxa"/>
              <w:left w:w="75" w:type="dxa"/>
              <w:bottom w:w="75" w:type="dxa"/>
              <w:right w:w="75" w:type="dxa"/>
            </w:tcMar>
          </w:tcPr>
          <w:p>
            <w:pPr>
              <w:spacing w:after="40" w:before="40"/>
            </w:pPr>
            <w:r>
              <w:rPr>
                <w:b w:val="0"/>
                <w:sz w:val="20"/>
              </w:rPr>
              <w:t>Empfang</w:t>
            </w:r>
          </w:p>
        </w:tc>
        <w:tc>
          <w:tcPr>
            <w:tcW w:type="dxa" w:w="7427"/>
            <w:tcMar>
              <w:top w:w="75" w:type="dxa"/>
              <w:left w:w="75" w:type="dxa"/>
              <w:bottom w:w="75" w:type="dxa"/>
              <w:right w:w="75" w:type="dxa"/>
            </w:tcMar>
          </w:tcPr>
          <w:p>
            <w:pPr>
              <w:spacing w:after="40" w:before="40"/>
            </w:pPr>
            <w:r>
              <w:rPr>
                <w:b w:val="0"/>
                <w:sz w:val="20"/>
              </w:rPr>
              <w:t>Ludwig Weber</w:t>
            </w:r>
          </w:p>
        </w:tc>
      </w:tr>
      <w:tr>
        <w:trPr>
          <w:cantSplit/>
        </w:trPr>
        <w:tc>
          <w:tcPr>
            <w:tcW w:type="dxa" w:w="2268"/>
            <w:tcMar>
              <w:top w:w="75" w:type="dxa"/>
              <w:left w:w="75" w:type="dxa"/>
              <w:bottom w:w="75" w:type="dxa"/>
              <w:right w:w="75" w:type="dxa"/>
            </w:tcMar>
          </w:tcPr>
          <w:p>
            <w:pPr>
              <w:spacing w:after="40" w:before="40"/>
            </w:pPr>
            <w:r>
              <w:rPr>
                <w:b w:val="0"/>
                <w:sz w:val="20"/>
              </w:rPr>
              <w:t>Belegbezug</w:t>
            </w:r>
          </w:p>
        </w:tc>
        <w:tc>
          <w:tcPr>
            <w:tcW w:type="dxa" w:w="7427"/>
            <w:tcMar>
              <w:top w:w="75" w:type="dxa"/>
              <w:left w:w="75" w:type="dxa"/>
              <w:bottom w:w="75" w:type="dxa"/>
              <w:right w:w="75" w:type="dxa"/>
            </w:tcMar>
          </w:tcPr>
          <w:p>
            <w:pPr>
              <w:spacing w:after="40" w:before="40"/>
            </w:pPr>
            <w:r>
              <w:rPr>
                <w:b w:val="0"/>
                <w:sz w:val="20"/>
              </w:rPr>
              <w:t>LB-023 / Tagesbericht 2028-07-17</w:t>
            </w:r>
          </w:p>
        </w:tc>
      </w:tr>
    </w:tbl>
    <w:p/>
    <w:p>
      <w:pPr>
        <w:pStyle w:val="Heading1"/>
      </w:pPr>
      <w:r>
        <w:t>2 Empfangskontrolle</w:t>
      </w:r>
    </w:p>
    <w:p>
      <w:r>
        <w:t>Kabinenansatz 1,10 m mal 1,40 m und Nennlast 630 kg wurden anhand der Lieferung abgeglichen; Nutzung bleibt gesperrt.</w:t>
      </w:r>
    </w:p>
    <w:p>
      <w:r>
        <w:t>Der Empfang bestätigt die bezeichnete Menge und den bei Anlieferung sichtbaren Zustand. Verdeckte Produkteigenschaften und die spätere Eignung des eingebauten Systems werden damit nicht abschließend bestätigt. Beanstandete oder noch nicht freigegebene Teile sind getrennt zu halten und vor Einbau mit der Bauleitung zu klären.</w:t>
      </w:r>
    </w:p>
    <w:p>
      <w:pPr>
        <w:pStyle w:val="Heading1"/>
      </w:pPr>
      <w:r>
        <w:t>3 Kaufmännische Abgrenzung</w:t>
      </w:r>
    </w:p>
    <w:p>
      <w:r>
        <w:t>Dieser Beleg ist keine zusätzliche Rechnung an die Bauherrin und löst keine weitere Vergütung neben dem bestehenden Bauvertrag aus. Materiallieferungen des beauftragten Unternehmens sind bereits in dessen Leistungsumfang enthalten. Die Mengen dienen dem Abgleich von Lieferung, Einbau und den vereinbarten Abschlagsständen; Doppelbuchungen sind ausgeschlossen.</w:t>
      </w:r>
    </w:p>
    <w:p>
      <w:r>
        <w:t>Empfang dokumentiert: gez. Ludwig Weber. In das Projektarchiv übernommen: gez. Hans Müller.</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 und Empfangsbeleg LB-023</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