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Steinbogen Wohnen GmbH</w:t>
      </w:r>
    </w:p>
    <w:p>
      <w:r>
        <w:t>Wohnhof Am Steinbogen 18, 31134 Hildesheim</w:t>
        <w:br/>
        <w:t>projekt@steinbogen-wohnen.example</w:t>
      </w:r>
    </w:p>
    <w:p>
      <w:r>
        <w:t>Steinbogen Wohnen GmbH</w:t>
        <w:br/>
        <w:t>Wohnhof Am Steinbogen 18, 31134 Hildesheim</w:t>
      </w:r>
    </w:p>
    <w:p>
      <w:r>
        <w:t>Hildesheim, 20.12.2026 · SW-HI-26-08</w:t>
      </w:r>
    </w:p>
    <w:p>
      <w:pPr>
        <w:pStyle w:val="Title"/>
      </w:pPr>
      <w:r>
        <w:t>Gesellschafterbeschluss zur Projektfinanzierung und Vermietungsplanung</w:t>
      </w:r>
    </w:p>
    <w:p>
      <w:pPr>
        <w:pStyle w:val="Heading1"/>
      </w:pPr>
      <w:r>
        <w:t>1. Eigenkapital</w:t>
      </w:r>
    </w:p>
    <w:p>
      <w:r>
        <w:t>Die Alleingesellschafterin Steinbogen Beteiligungen GmbH beschließt, der Steinbogen Wohnen GmbH für das Projekt SW-HI-26-08 insgesamt 2.100.000,00 EUR als freiwillige Zuzahlung in die Kapitalrücklage zur Verfügung zu stellen. Die Einzahlung erfolgt in drei Teilbeträgen von 800.000,00 EUR zum 15.11.2026, 700.000,00 EUR zum 15.01.2027 und 600.000,00 EUR zum 15.01.2028. Der erste Teilbetrag ist bereits auf dem Projektkonto eingegangen. Eine laufende Verzinsung oder Rückzahlungsfälligkeit wird nicht vereinbart.</w:t>
      </w:r>
    </w:p>
    <w:p>
      <w:pPr>
        <w:pStyle w:val="Heading1"/>
      </w:pPr>
      <w:r>
        <w:t>2. Freigegebener Kostenrahmen</w:t>
      </w:r>
    </w:p>
    <w:p>
      <w:r>
        <w:t>Der freigegebene Kostenrahmen beträgt 3.650.000,00 EUR einschließlich nicht abziehbarer Umsatzsteuer, Grundstück und Erwerbsnebenkosten sowie der gesondert vereinbarten Finanzierungskosten bis Ende 2028. Die Ausgangskalkulation beträgt 3.463.770,41 EUR. Aus Eigenkapital und Darlehen stehen 3.700.000,00 EUR zur Verfügung. Nicht verbrauchte Mittel bleiben zunächst zur Deckung ausstehender Projektabrechnungen auf dem Projektkonto.</w:t>
      </w:r>
    </w:p>
    <w:p>
      <w:r>
        <w:br w:type="page"/>
      </w:r>
    </w:p>
    <w:p>
      <w:pPr>
        <w:pStyle w:val="Heading1"/>
      </w:pPr>
      <w:r>
        <w:t>3. Vermietungsannahmen</w:t>
      </w:r>
    </w:p>
    <w:p>
      <w:r>
        <w:t>Geplant ist die langfristige Vermietung sämtlicher acht Wohnungen zu Wohnzwecken ab 01.10.2028. Die Wohnflächen betragen in der Reihenfolge WE 01 bis WE 08 jeweils 68, 75, 82, 68, 75, 82, 75 und 75 m², zusammen 600 m². Für die Wirtschaftlichkeitsrechnung setzt die Geschäftsführung eine Nettokaltmiete von 13,50 EUR je m² und Monat an. Acht Stellplätze werden ausschließlich zusammen mit den Wohnungen mit jeweils 50,00 EUR monatlich kalkuliert. Diese Werte sind interne Planannahmen und keine Feststellung einer ortsüblichen oder rechtlich zulässigen Miethöhe.</w:t>
      </w:r>
    </w:p>
    <w:p>
      <w:pPr>
        <w:pStyle w:val="Heading1"/>
      </w:pPr>
      <w:r>
        <w:t>4. Betrieb und Rücklagenplanung</w:t>
      </w:r>
    </w:p>
    <w:p>
      <w:r>
        <w:t>Für nicht umlagefähige Bewirtschaftungsaufwendungen und laufende Instandhaltung werden in einem stabilisierten vollen Vermietungsjahr zunächst 18.000,00 EUR veranschlagt. Diese Planannahme ist vor der Vermietung anhand von Angeboten und den tatsächlichen Verträgen zu aktualisieren. Mietausfall wird zunächst mit null angesetzt; die Arbeitsmappe soll abweichende Leerstands- und Kostenannahmen rechnen können. Kautionen stehen nicht zur Finanzierung der Baukosten zur Verfügung.</w:t>
      </w:r>
    </w:p>
    <w:p>
      <w:pPr>
        <w:pStyle w:val="Heading1"/>
      </w:pPr>
      <w:r>
        <w:t>5. Nutzung und Verantwortlichkeit</w:t>
      </w:r>
    </w:p>
    <w:p>
      <w:r>
        <w:t>Die Gesellschaft erbringt keine Bauleistungen für Dritte. Sie baut und hält das Haus ausschließlich zur eigenen Wohnraumvermietung. Der PV-Ertrag wird im vereinbarten Allgemeinstromkonzept genutzt; gesonderte Stromlieferverträge mit Mietern werden nicht abgeschlossen. Die steuerliche Zuordnung und die Feststellung der Anschaffungs- und Herstellungskosten werden anhand der Belege mit der steuerlichen Beratung abgestimmt. Die kaufmännische Projektkostenrechnung stellt dafür die Zahlungen und Leistungsabrechnungen getrennt bereit.</w:t>
      </w:r>
    </w:p>
    <w:p>
      <w:r>
        <w:t>gez. Maren Birk, Geschäftsführerin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Gesellschafterbeschluss zur Projektfinanzierung und Vermietungsplanung</dc:title>
  <dc:subject/>
  <dc:creator>Klotzkette</dc:creator>
  <cp:keywords/>
  <dc:description>generated by python-docx</dc:description>
  <cp:lastModifiedBy>Klotzkette</cp:lastModifiedBy>
  <cp:revision>1</cp:revision>
  <dcterms:created xsi:type="dcterms:W3CDTF">2026-12-20T00:00:00Z</dcterms:created>
  <dcterms:modified xsi:type="dcterms:W3CDTF">2026-12-20T00:00:00Z</dcterms:modified>
  <cp:category/>
  <dc:language>de-DE</dc:language>
</cp:coreProperties>
</file>