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Tessa Brandt</w:t>
        <w:br/>
        <w:t>Wohnhof Am Steinbogen 18, Wohnung 07, 31134 Hildesheim</w:t>
      </w:r>
    </w:p>
    <w:p>
      <w:r>
        <w:t>Hildesheim, 01.09.2028 · SW-HI-26-08</w:t>
      </w:r>
    </w:p>
    <w:p>
      <w:pPr>
        <w:pStyle w:val="Title"/>
      </w:pPr>
      <w:r>
        <w:t>Wohnraummietvertrag für Wohnung 07</w:t>
      </w:r>
    </w:p>
    <w:p>
      <w:r>
        <w:t>Die Steinbogen Wohnen GmbH, vertreten durch Maren Birk, vermietet an Tessa Brandt die Wohnung 07 im Wohnhof Am Steinbogen 18 in Hildesheim. Die Parteien schließen einen unbefristeten Wohnraummietvertrag mit Beginn am 01.10.2028.</w:t>
      </w:r>
    </w:p>
    <w:p>
      <w:pPr>
        <w:pStyle w:val="Heading1"/>
      </w:pPr>
      <w:r>
        <w:t>1 Mietgegenstand</w:t>
      </w:r>
    </w:p>
    <w:p>
      <w:r>
        <w:t>Vermietet wird die Wohnung 2.OG links mit einer vereinbarten Wohnfläche von 75 m² einschließlich der im Übergabeprotokoll bezeichneten Räume. Mitvermietet wird Pkw-Stellplatz 07. Die Wohnung wird ausschließlich zu Wohnzwecken überlassen. Gemeinschaftliche Fahrrad-, Abfall- und Spielflächen können im vorgesehenen Umfang mitbenutzt werden. Eine Änderung der vereinbarten Nutzung bedarf der erforderlichen Zustimmung und öffentlich-rechtlichen Zulässigkeit.</w:t>
      </w:r>
    </w:p>
    <w:p>
      <w:pPr>
        <w:pStyle w:val="Heading1"/>
      </w:pPr>
      <w:r>
        <w:t>2 Miete und Vorauszahlungen</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Bestandteil</w:t>
            </w:r>
          </w:p>
        </w:tc>
        <w:tc>
          <w:tcPr>
            <w:tcW w:type="dxa" w:w="4933"/>
          </w:tcPr>
          <w:p>
            <w:r>
              <w:rPr>
                <w:b/>
                <w:sz w:val="20"/>
              </w:rPr>
              <w:t>Monatlich EUR</w:t>
            </w:r>
          </w:p>
        </w:tc>
      </w:tr>
      <w:tr>
        <w:trPr>
          <w:cantSplit/>
        </w:trPr>
        <w:tc>
          <w:tcPr>
            <w:tcW w:type="dxa" w:w="4933"/>
          </w:tcPr>
          <w:p>
            <w:r>
              <w:rPr>
                <w:b w:val="0"/>
                <w:sz w:val="20"/>
              </w:rPr>
              <w:t>Wohnungsnettomiete</w:t>
            </w:r>
          </w:p>
        </w:tc>
        <w:tc>
          <w:tcPr>
            <w:tcW w:type="dxa" w:w="4933"/>
          </w:tcPr>
          <w:p>
            <w:r>
              <w:rPr>
                <w:b w:val="0"/>
                <w:sz w:val="20"/>
              </w:rPr>
              <w:t>1.012,50</w:t>
            </w:r>
          </w:p>
        </w:tc>
      </w:tr>
      <w:tr>
        <w:trPr>
          <w:cantSplit/>
        </w:trPr>
        <w:tc>
          <w:tcPr>
            <w:tcW w:type="dxa" w:w="4933"/>
          </w:tcPr>
          <w:p>
            <w:r>
              <w:rPr>
                <w:b w:val="0"/>
                <w:sz w:val="20"/>
              </w:rPr>
              <w:t>Pkw-Stellplatz</w:t>
            </w:r>
          </w:p>
        </w:tc>
        <w:tc>
          <w:tcPr>
            <w:tcW w:type="dxa" w:w="4933"/>
          </w:tcPr>
          <w:p>
            <w:r>
              <w:rPr>
                <w:b w:val="0"/>
                <w:sz w:val="20"/>
              </w:rPr>
              <w:t>50,00</w:t>
            </w:r>
          </w:p>
        </w:tc>
      </w:tr>
      <w:tr>
        <w:trPr>
          <w:cantSplit/>
        </w:trPr>
        <w:tc>
          <w:tcPr>
            <w:tcW w:type="dxa" w:w="4933"/>
          </w:tcPr>
          <w:p>
            <w:r>
              <w:rPr>
                <w:b w:val="0"/>
                <w:sz w:val="20"/>
              </w:rPr>
              <w:t>Vorauszahlung kalte Betriebskosten</w:t>
            </w:r>
          </w:p>
        </w:tc>
        <w:tc>
          <w:tcPr>
            <w:tcW w:type="dxa" w:w="4933"/>
          </w:tcPr>
          <w:p>
            <w:r>
              <w:rPr>
                <w:b w:val="0"/>
                <w:sz w:val="20"/>
              </w:rPr>
              <w:t>135,00</w:t>
            </w:r>
          </w:p>
        </w:tc>
      </w:tr>
      <w:tr>
        <w:trPr>
          <w:cantSplit/>
        </w:trPr>
        <w:tc>
          <w:tcPr>
            <w:tcW w:type="dxa" w:w="4933"/>
          </w:tcPr>
          <w:p>
            <w:r>
              <w:rPr>
                <w:b w:val="0"/>
                <w:sz w:val="20"/>
              </w:rPr>
              <w:t>Vorauszahlung Heizung und Warmwasser</w:t>
            </w:r>
          </w:p>
        </w:tc>
        <w:tc>
          <w:tcPr>
            <w:tcW w:type="dxa" w:w="4933"/>
          </w:tcPr>
          <w:p>
            <w:r>
              <w:rPr>
                <w:b w:val="0"/>
                <w:sz w:val="20"/>
              </w:rPr>
              <w:t>67,50</w:t>
            </w:r>
          </w:p>
        </w:tc>
      </w:tr>
      <w:tr>
        <w:trPr>
          <w:cantSplit/>
        </w:trPr>
        <w:tc>
          <w:tcPr>
            <w:tcW w:type="dxa" w:w="4933"/>
          </w:tcPr>
          <w:p>
            <w:r>
              <w:rPr>
                <w:b w:val="0"/>
                <w:sz w:val="20"/>
              </w:rPr>
              <w:t>Gesamtzahlung</w:t>
            </w:r>
          </w:p>
        </w:tc>
        <w:tc>
          <w:tcPr>
            <w:tcW w:type="dxa" w:w="4933"/>
          </w:tcPr>
          <w:p>
            <w:r>
              <w:rPr>
                <w:b w:val="0"/>
                <w:sz w:val="20"/>
              </w:rPr>
              <w:t>1.265,00</w:t>
            </w:r>
          </w:p>
        </w:tc>
      </w:tr>
    </w:tbl>
    <w:p/>
    <w:p>
      <w:r>
        <w:t>Die laufende Miete ist nach den gesetzlichen Vorschriften zu Beginn des Monats, spätestens bis zum dritten Werktag, zu entrichten. Die Vermieterin teilt die Bankverbindung vor Mietbeginn gesondert mit. Die vereinbarte Wohnungsnettomiete entspricht 13,50 EUR je Quadratmeter. Es wird weder eine Index- noch eine Staffelmiete vereinbart. Spätere Mietänderungen richten sich nach den gesetzlichen Voraussetzungen.</w:t>
      </w:r>
    </w:p>
    <w:p>
      <w:pPr>
        <w:pStyle w:val="Heading1"/>
      </w:pPr>
      <w:r>
        <w:t>3 Betriebskosten</w:t>
      </w:r>
    </w:p>
    <w:p>
      <w:r>
        <w:t>Die Mietpartei trägt die tatsächlich anfallenden, umlagefähigen Betriebskosten im Sinne von Paragraf 2 Betriebskostenverordnung, soweit die betreffende Einrichtung oder Leistung vorhanden ist. Dazu gehören insbesondere laufende öffentliche Lasten, Wasser und Entwässerung, Heizung und Warmwasser, Aufzug, Straßenreinigung und Müll, Gebäudereinigung, Gartenpflege, Allgemeinbeleuchtung, Sach- und Haftpflichtversicherung sowie umlagefähige Hauswarttätigkeiten. Verwaltungs-, Instandhaltungs- und Instandsetzungskosten werden nicht umgelegt. Sonstige Betriebskosten werden nicht ohne konkrete Vereinbarung zusätzlich verlangt.</w:t>
      </w:r>
    </w:p>
    <w:p>
      <w:r>
        <w:t>Die Abrechnung erfolgt jährlich für das Kalenderjahr. Die Vermieterin beachtet die gesetzliche Abrechnungsfrist. Kalte Betriebskosten werden nach Wohnfläche verteilt, soweit ein zulässiger Verbrauchs- oder Verursachungsmaßstab vorgeht. Heiz- und Warmwasserkosten werden zu 70 Prozent nach erfasstem Verbrauch und zu 30 Prozent nach dem hierfür maßgeblichen Flächenmaßstab verteilt, soweit zwingende gesetzliche Vorgaben keine andere Behandlung erfordern. Die Vorauszahlungen können nach den gesetzlichen Voraussetzungen angepasst werden.</w:t>
      </w:r>
    </w:p>
    <w:p>
      <w:pPr>
        <w:pStyle w:val="Heading1"/>
      </w:pPr>
      <w:r>
        <w:t>4 Sicherheit</w:t>
      </w:r>
    </w:p>
    <w:p>
      <w:r>
        <w:t>Die Mietsicherheit beträgt 3.037,50 EUR. Sie entspricht drei Wohnungsnettomieten ohne Betriebskostenvorauszahlungen. Die Mietpartei darf in drei gleichen monatlichen Raten zahlen. Die erste Rate ist zu Beginn des Mietverhältnisses, die folgenden Raten zusammen mit den unmittelbar folgenden Mietzahlungen fällig. Die Vermieterin legt die Geldsicherheit getrennt von ihrem Vermögen nach den gesetzlichen Vorgaben an. Die Erträge stehen der Mietpartei zu und erhöhen die Sicherheit.</w:t>
      </w:r>
    </w:p>
    <w:p>
      <w:pPr>
        <w:pStyle w:val="Heading1"/>
      </w:pPr>
      <w:r>
        <w:t>5 Übergabe und Gebrauch</w:t>
      </w:r>
    </w:p>
    <w:p>
      <w:r>
        <w:t>Die Wohnung wird im gesonderten Übergabeprotokoll mit Zustand, Schlüsseln und Zählerständen dokumentiert. Gesetzliche Mängelrechte werden durch eine bloße Zustandsbeschreibung nicht pauschal ausgeschlossen. Die Mietpartei behandelt die Räume pfleglich, meldet Mängel zeitnah und ermöglicht notwendige Arbeiten nach rechtzeitiger Abstimmung. In dringenden Gefahrenfällen gelten die gesetzlichen Mitwirkungspflichten. Ein allgemeines jederzeitiges Betretungsrecht wird nicht vereinbart.</w:t>
      </w:r>
    </w:p>
    <w:p>
      <w:pPr>
        <w:pStyle w:val="Heading1"/>
      </w:pPr>
      <w:r>
        <w:t>6 Instandhaltung und Veränderungen</w:t>
      </w:r>
    </w:p>
    <w:p>
      <w:r>
        <w:t>Die Vermieterin trägt die gesetzliche Instandhaltungspflicht. Es wird keine formularmäßige Übertragung von Schönheitsreparaturen oder Kleinreparaturkosten vereinbart. Bauliche Veränderungen sind vorab abzustimmen; gesetzliche Ansprüche auf Erlaubnis bleiben unberührt. Übliche Kleintierhaltung bleibt zulässig. Andere Tierhaltung wird anhand der konkreten Umstände und der berechtigten Interessen beurteilt.</w:t>
      </w:r>
    </w:p>
    <w:p>
      <w:pPr>
        <w:pStyle w:val="Heading1"/>
      </w:pPr>
      <w:r>
        <w:t>7 Kündigung und Rückgabe</w:t>
      </w:r>
    </w:p>
    <w:p>
      <w:r>
        <w:t>Für Kündigung und Beendigung gelten die gesetzlichen Voraussetzungen, Fristen und Formanforderungen. Ein Zeitmietgrund, ein Kündigungsausschluss und ein pauschaler Räumungsverzicht werden nicht vereinbart. Nach wirksamer Beendigung ist die Wohnung mit allen überlassenen Schlüsseln zurückzugeben. Die Abrechnung über die Mietsicherheit erfolgt nach Prüfung der gesicherten Ansprüche innerhalb des rechtlich zulässigen Zeitraums.</w:t>
      </w:r>
    </w:p>
    <w:p>
      <w:pPr>
        <w:pStyle w:val="Heading1"/>
      </w:pPr>
      <w:r>
        <w:t>8 Schlussvereinbarungen</w:t>
      </w:r>
    </w:p>
    <w:p>
      <w:r>
        <w:t>Mehrere als Mietpartei genannte Personen schließen den Vertrag gemeinsam. Der mitvermietete Stellplatz gehört zu diesem Mietverhältnis. Die PV-Anlage begründet keinen gesonderten Stromliefervertrag mit der Mietpartei; für den Wohnungsstrom wählt sie ihren Versorger selbst. Eine Entgeltvereinbarung für die Nutzung eines Ladepunkts bedarf einer gesonderten Regelung.</w:t>
      </w:r>
    </w:p>
    <w:p>
      <w:r>
        <w:t>Hildesheim,01.09.2028. Für die Vermieterin gez.Maren Birk. Für die Mietpartei gez.Tessa Brandt. Beide Seiten erhalten eine Vertragsausfertigung.</w:t>
      </w:r>
    </w:p>
    <w:p>
      <w:r>
        <w:t>Vertragsausfertigung</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Wohnraummietvertrag für Wohnung 07</dc:title>
  <dc:subject/>
  <dc:creator>Klotzkette</dc:creator>
  <cp:keywords/>
  <dc:description>generated by python-docx</dc:description>
  <cp:lastModifiedBy>Klotzkette</cp:lastModifiedBy>
  <cp:revision>1</cp:revision>
  <dcterms:created xsi:type="dcterms:W3CDTF">2028-09-01T00:00:00Z</dcterms:created>
  <dcterms:modified xsi:type="dcterms:W3CDTF">2028-09-01T00:00:00Z</dcterms:modified>
  <cp:category/>
  <dc:language>de-DE</dc:language>
</cp:coreProperties>
</file>