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Baubegehung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Anlass und Grenzen</w:t>
      </w:r>
    </w:p>
    <w:p>
      <w:r>
        <w:t>Am [Datum] begehen [Beteiligte] den Bereich [Ort und Bauteil]. Der Termin dient [konkreter Anlass]. Zugänglich waren [Bereiche]; nicht begangen oder verdeckt waren [Bereiche]. Eine weitergehende Untersuchung ist nur dokumentiert, soweit sie tatsächlich durchgeführt wurde.</w:t>
      </w:r>
    </w:p>
    <w:p>
      <w:pPr>
        <w:pStyle w:val="Heading1"/>
      </w:pPr>
      <w:r>
        <w:t>2 Beobachtung und Beleg</w:t>
      </w:r>
    </w:p>
    <w:p>
      <w:r>
        <w:t>Festgestellt wurde [konkreter sichtbarer Zustand mit Maß, Lage und Zeitpunkt]. Die Beobachtung stützt sich auf [Messung, Plan oder sonstiger Beleg]. Die vermutete Ursache [Arbeitshypothese] ist von der gesicherten Feststellung zu unterscheiden.</w:t>
      </w:r>
    </w:p>
    <w:p>
      <w:pPr>
        <w:pStyle w:val="Heading1"/>
      </w:pPr>
      <w:r>
        <w:t>3 Maßnahmen und Zuständigkeit</w:t>
      </w:r>
    </w:p>
    <w:p>
      <w:r>
        <w:t>[Unternehmen] übernimmt die Maßnahme [ausformulierte Leistung] bis [Datum]. Vor einer kosten- oder terminwirksamen Vertragsänderung ist die Entscheidung der hierzu befugten Person [Name] einzuholen. Das nächste Gewerk darf [betroffener Bereich] erst nach [konkreter Voraussetzung] verdecken.</w:t>
      </w:r>
    </w:p>
    <w:p>
      <w:pPr>
        <w:pStyle w:val="Heading1"/>
      </w:pPr>
      <w:r>
        <w:t>4 Nachkontrolle und Verteilung</w:t>
      </w:r>
    </w:p>
    <w:p>
      <w:r>
        <w:t>Die Nachkontrolle findet am [Datum] mit [Beteiligten] statt. Das Protokoll wird an [Empfänger] verteilt. Schweigen wird nicht als Abnahme oder Nachtragsauftrag vereinbart; tatsächliche Berichtigungen sollen den konkreten Absatz und den abweichenden Befund bezeichnen.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Baubegehung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