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Nachtragsprüfung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Änderungsanlass und Vertrag</w:t>
      </w:r>
    </w:p>
    <w:p>
      <w:r>
        <w:t>Das Angebot [Nummer] vom [Datum] betrifft den Bauvertrag vom [Datum] und die beabsichtigte Änderung [konkreter Inhalt]. Zu prüfen ist zunächst, ob die Leistung bereits vom vereinbarten Erfolg und den Vertragsunterlagen umfasst ist.</w:t>
      </w:r>
    </w:p>
    <w:p>
      <w:pPr>
        <w:pStyle w:val="Heading1"/>
      </w:pPr>
      <w:r>
        <w:t>2 Menge Preis und Abgrenzung</w:t>
      </w:r>
    </w:p>
    <w:p>
      <w:r>
        <w:t>Die nachgewiesene Menge beträgt [Menge und Einheit]. Der Preisansatz setzt sich aus [Lohn, Material, Gerät und weiteren nachgewiesenen Bestandteilen] zusammen. Bereits enthaltene oder anderweitig abgerechnete Bestandteile [Bezeichnung] werden abgezogen; die nachvollziehbare Mehr- oder Mindervergütung beträgt [Betrag] EUR netto.</w:t>
      </w:r>
    </w:p>
    <w:p>
      <w:pPr>
        <w:pStyle w:val="Heading1"/>
      </w:pPr>
      <w:r>
        <w:t>3 Termin und Entscheidung</w:t>
      </w:r>
    </w:p>
    <w:p>
      <w:r>
        <w:t>Der Unternehmer benennt als konkret betroffene Folge [Arbeit und Zeitraum] und erläutert [Ursache und mögliche Gegenmaßnahme]. Die technische Bewertung durch [Planer] ersetzt keine rechtsgeschäftliche Annahme. Die Entscheidung liegt bei [bevollmächtigte Person]; gesetzliche Änderungs- und Anordnungsrechte sind getrennt zu prüfen.</w:t>
      </w:r>
    </w:p>
    <w:p>
      <w:pPr>
        <w:pStyle w:val="Heading1"/>
      </w:pPr>
      <w:r>
        <w:t>4 Dokumentierter Abschluss</w:t>
      </w:r>
    </w:p>
    <w:p>
      <w:r>
        <w:t>Die Entscheidung lautet [vollständig ausformulierte Annahme, Ablehnung oder Klärungsanforderung]. Ihre Reichweite ist auf [Leistungsumfang] begrenzt. Leistungsnachweise und Kostenfortschreibung werden erst entsprechend der feststehenden Vertragsgrundlage fortgeschrieben.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Nachtragsprüfung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