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Beschlussvorlage · Prüfung der Einzelverkaufsoption</w:t>
      </w:r>
    </w:p>
    <w:p>
      <w:r>
        <w:t>Stand 1. November 2027 · Option Einzelverkauf · Entwurf zur Abstimmung</w:t>
      </w:r>
    </w:p>
    <w:p>
      <w:pPr>
        <w:pStyle w:val="Heading1"/>
      </w:pPr>
      <w:r>
        <w:t>1 Gegenstand der Entscheidung</w:t>
      </w:r>
    </w:p>
    <w:p>
      <w:r>
        <w:t>Die Geschäftsführung legt den Gesellschaftern am 1. November 2027 die Möglichkeit vor, das geplante Mietobjekt vor Baubeginn in acht Wohnungseigentumsrechte aufzuteilen und einzeln zu veräußern. Das bisher freigegebene Vermietungskonzept gilt weiter. Die nachfolgenden Erwerberprofile und Preise dienen der vorbereiteten Vertragsgestaltung; es liegen weder verbindliche Angebote noch Reservierungen oder Kaufverträge vor.</w:t>
      </w:r>
    </w:p>
    <w:p>
      <w:pPr>
        <w:pStyle w:val="Heading1"/>
      </w:pPr>
      <w:r>
        <w:t>2 Vorgesehene wirtschaftliche Eckdaten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381"/>
        <w:gridCol w:w="4422"/>
      </w:tblGrid>
      <w:tr>
        <w:trPr>
          <w:cantSplit/>
          <w:tblHeader/>
        </w:trPr>
        <w:tc>
          <w:tcPr>
            <w:tcW w:type="dxa" w:w="1134"/>
            <w:tcMar>
              <w:top w:w="85" w:type="dxa"/>
              <w:left w:w="85" w:type="dxa"/>
              <w:bottom w:w="85" w:type="dxa"/>
              <w:right w:w="85" w:type="dxa"/>
            </w:tcMar>
            <w:shd w:fill="E8EDF0"/>
          </w:tcPr>
          <w:p>
            <w:pPr>
              <w:spacing w:after="60"/>
            </w:pPr>
            <w:r>
              <w:rPr>
                <w:b/>
                <w:sz w:val="20"/>
              </w:rPr>
              <w:t>Einheit</w:t>
            </w:r>
          </w:p>
        </w:tc>
        <w:tc>
          <w:tcPr>
            <w:tcW w:type="dxa" w:w="2381"/>
            <w:tcMar>
              <w:top w:w="85" w:type="dxa"/>
              <w:left w:w="85" w:type="dxa"/>
              <w:bottom w:w="85" w:type="dxa"/>
              <w:right w:w="85" w:type="dxa"/>
            </w:tcMar>
            <w:shd w:fill="E8EDF0"/>
          </w:tcPr>
          <w:p>
            <w:pPr>
              <w:spacing w:after="60"/>
            </w:pPr>
            <w:r>
              <w:rPr>
                <w:b/>
                <w:sz w:val="20"/>
              </w:rPr>
              <w:t>Ansatz Gesamtpreis EUR</w:t>
            </w:r>
          </w:p>
        </w:tc>
        <w:tc>
          <w:tcPr>
            <w:tcW w:type="dxa" w:w="4422"/>
            <w:tcMar>
              <w:top w:w="85" w:type="dxa"/>
              <w:left w:w="85" w:type="dxa"/>
              <w:bottom w:w="85" w:type="dxa"/>
              <w:right w:w="85" w:type="dxa"/>
            </w:tcMar>
            <w:shd w:fill="E8EDF0"/>
          </w:tcPr>
          <w:p>
            <w:pPr>
              <w:spacing w:after="60"/>
            </w:pPr>
            <w:r>
              <w:rPr>
                <w:b/>
                <w:sz w:val="20"/>
              </w:rPr>
              <w:t>Käuferprofil für Entwurf</w:t>
            </w:r>
          </w:p>
        </w:tc>
      </w:tr>
      <w:tr>
        <w:trPr>
          <w:cantSplit/>
        </w:trPr>
        <w:tc>
          <w:tcPr>
            <w:tcW w:type="dxa" w:w="1134"/>
            <w:tcMar>
              <w:top w:w="85" w:type="dxa"/>
              <w:left w:w="85" w:type="dxa"/>
              <w:bottom w:w="85" w:type="dxa"/>
              <w:right w:w="85" w:type="dxa"/>
            </w:tcMar>
          </w:tcPr>
          <w:p>
            <w:pPr>
              <w:spacing w:after="60"/>
            </w:pPr>
            <w:r>
              <w:rPr>
                <w:b w:val="0"/>
                <w:sz w:val="20"/>
              </w:rPr>
              <w:t>WE01</w:t>
            </w:r>
          </w:p>
        </w:tc>
        <w:tc>
          <w:tcPr>
            <w:tcW w:type="dxa" w:w="2381"/>
            <w:tcMar>
              <w:top w:w="85" w:type="dxa"/>
              <w:left w:w="85" w:type="dxa"/>
              <w:bottom w:w="85" w:type="dxa"/>
              <w:right w:w="85" w:type="dxa"/>
            </w:tcMar>
          </w:tcPr>
          <w:p>
            <w:pPr>
              <w:spacing w:after="60"/>
            </w:pPr>
            <w:r>
              <w:rPr>
                <w:b w:val="0"/>
                <w:sz w:val="20"/>
              </w:rPr>
              <w:t>409.000,00</w:t>
            </w:r>
          </w:p>
        </w:tc>
        <w:tc>
          <w:tcPr>
            <w:tcW w:type="dxa" w:w="4422"/>
            <w:tcMar>
              <w:top w:w="85" w:type="dxa"/>
              <w:left w:w="85" w:type="dxa"/>
              <w:bottom w:w="85" w:type="dxa"/>
              <w:right w:w="85" w:type="dxa"/>
            </w:tcMar>
          </w:tcPr>
          <w:p>
            <w:pPr>
              <w:spacing w:after="60"/>
            </w:pPr>
            <w:r>
              <w:rPr>
                <w:b w:val="0"/>
                <w:sz w:val="20"/>
              </w:rPr>
              <w:t>Johann Müller und Anna Müller</w:t>
            </w:r>
          </w:p>
        </w:tc>
      </w:tr>
      <w:tr>
        <w:trPr>
          <w:cantSplit/>
        </w:trPr>
        <w:tc>
          <w:tcPr>
            <w:tcW w:type="dxa" w:w="1134"/>
            <w:tcMar>
              <w:top w:w="85" w:type="dxa"/>
              <w:left w:w="85" w:type="dxa"/>
              <w:bottom w:w="85" w:type="dxa"/>
              <w:right w:w="85" w:type="dxa"/>
            </w:tcMar>
          </w:tcPr>
          <w:p>
            <w:pPr>
              <w:spacing w:after="60"/>
            </w:pPr>
            <w:r>
              <w:rPr>
                <w:b w:val="0"/>
                <w:sz w:val="20"/>
              </w:rPr>
              <w:t>WE02</w:t>
            </w:r>
          </w:p>
        </w:tc>
        <w:tc>
          <w:tcPr>
            <w:tcW w:type="dxa" w:w="2381"/>
            <w:tcMar>
              <w:top w:w="85" w:type="dxa"/>
              <w:left w:w="85" w:type="dxa"/>
              <w:bottom w:w="85" w:type="dxa"/>
              <w:right w:w="85" w:type="dxa"/>
            </w:tcMar>
          </w:tcPr>
          <w:p>
            <w:pPr>
              <w:spacing w:after="60"/>
            </w:pPr>
            <w:r>
              <w:rPr>
                <w:b w:val="0"/>
                <w:sz w:val="20"/>
              </w:rPr>
              <w:t>449.000,00</w:t>
            </w:r>
          </w:p>
        </w:tc>
        <w:tc>
          <w:tcPr>
            <w:tcW w:type="dxa" w:w="4422"/>
            <w:tcMar>
              <w:top w:w="85" w:type="dxa"/>
              <w:left w:w="85" w:type="dxa"/>
              <w:bottom w:w="85" w:type="dxa"/>
              <w:right w:w="85" w:type="dxa"/>
            </w:tcMar>
          </w:tcPr>
          <w:p>
            <w:pPr>
              <w:spacing w:after="60"/>
            </w:pPr>
            <w:r>
              <w:rPr>
                <w:b w:val="0"/>
                <w:sz w:val="20"/>
              </w:rPr>
              <w:t>Georg Schmidt und Margarete Schmidt</w:t>
            </w:r>
          </w:p>
        </w:tc>
      </w:tr>
      <w:tr>
        <w:trPr>
          <w:cantSplit/>
        </w:trPr>
        <w:tc>
          <w:tcPr>
            <w:tcW w:type="dxa" w:w="1134"/>
            <w:tcMar>
              <w:top w:w="85" w:type="dxa"/>
              <w:left w:w="85" w:type="dxa"/>
              <w:bottom w:w="85" w:type="dxa"/>
              <w:right w:w="85" w:type="dxa"/>
            </w:tcMar>
          </w:tcPr>
          <w:p>
            <w:pPr>
              <w:spacing w:after="60"/>
            </w:pPr>
            <w:r>
              <w:rPr>
                <w:b w:val="0"/>
                <w:sz w:val="20"/>
              </w:rPr>
              <w:t>WE03</w:t>
            </w:r>
          </w:p>
        </w:tc>
        <w:tc>
          <w:tcPr>
            <w:tcW w:type="dxa" w:w="2381"/>
            <w:tcMar>
              <w:top w:w="85" w:type="dxa"/>
              <w:left w:w="85" w:type="dxa"/>
              <w:bottom w:w="85" w:type="dxa"/>
              <w:right w:w="85" w:type="dxa"/>
            </w:tcMar>
          </w:tcPr>
          <w:p>
            <w:pPr>
              <w:spacing w:after="60"/>
            </w:pPr>
            <w:r>
              <w:rPr>
                <w:b w:val="0"/>
                <w:sz w:val="20"/>
              </w:rPr>
              <w:t>489.000,00</w:t>
            </w:r>
          </w:p>
        </w:tc>
        <w:tc>
          <w:tcPr>
            <w:tcW w:type="dxa" w:w="4422"/>
            <w:tcMar>
              <w:top w:w="85" w:type="dxa"/>
              <w:left w:w="85" w:type="dxa"/>
              <w:bottom w:w="85" w:type="dxa"/>
              <w:right w:w="85" w:type="dxa"/>
            </w:tcMar>
          </w:tcPr>
          <w:p>
            <w:pPr>
              <w:spacing w:after="60"/>
            </w:pPr>
            <w:r>
              <w:rPr>
                <w:b w:val="0"/>
                <w:sz w:val="20"/>
              </w:rPr>
              <w:t>Friedrich Schulz und Erna Schulz</w:t>
            </w:r>
          </w:p>
        </w:tc>
      </w:tr>
      <w:tr>
        <w:trPr>
          <w:cantSplit/>
        </w:trPr>
        <w:tc>
          <w:tcPr>
            <w:tcW w:type="dxa" w:w="1134"/>
            <w:tcMar>
              <w:top w:w="85" w:type="dxa"/>
              <w:left w:w="85" w:type="dxa"/>
              <w:bottom w:w="85" w:type="dxa"/>
              <w:right w:w="85" w:type="dxa"/>
            </w:tcMar>
          </w:tcPr>
          <w:p>
            <w:pPr>
              <w:spacing w:after="60"/>
            </w:pPr>
            <w:r>
              <w:rPr>
                <w:b w:val="0"/>
                <w:sz w:val="20"/>
              </w:rPr>
              <w:t>WE04</w:t>
            </w:r>
          </w:p>
        </w:tc>
        <w:tc>
          <w:tcPr>
            <w:tcW w:type="dxa" w:w="2381"/>
            <w:tcMar>
              <w:top w:w="85" w:type="dxa"/>
              <w:left w:w="85" w:type="dxa"/>
              <w:bottom w:w="85" w:type="dxa"/>
              <w:right w:w="85" w:type="dxa"/>
            </w:tcMar>
          </w:tcPr>
          <w:p>
            <w:pPr>
              <w:spacing w:after="60"/>
            </w:pPr>
            <w:r>
              <w:rPr>
                <w:b w:val="0"/>
                <w:sz w:val="20"/>
              </w:rPr>
              <w:t>419.000,00</w:t>
            </w:r>
          </w:p>
        </w:tc>
        <w:tc>
          <w:tcPr>
            <w:tcW w:type="dxa" w:w="4422"/>
            <w:tcMar>
              <w:top w:w="85" w:type="dxa"/>
              <w:left w:w="85" w:type="dxa"/>
              <w:bottom w:w="85" w:type="dxa"/>
              <w:right w:w="85" w:type="dxa"/>
            </w:tcMar>
          </w:tcPr>
          <w:p>
            <w:pPr>
              <w:spacing w:after="60"/>
            </w:pPr>
            <w:r>
              <w:rPr>
                <w:b w:val="0"/>
                <w:sz w:val="20"/>
              </w:rPr>
              <w:t>Hans Becker</w:t>
            </w:r>
          </w:p>
        </w:tc>
      </w:tr>
      <w:tr>
        <w:trPr>
          <w:cantSplit/>
        </w:trPr>
        <w:tc>
          <w:tcPr>
            <w:tcW w:type="dxa" w:w="1134"/>
            <w:tcMar>
              <w:top w:w="85" w:type="dxa"/>
              <w:left w:w="85" w:type="dxa"/>
              <w:bottom w:w="85" w:type="dxa"/>
              <w:right w:w="85" w:type="dxa"/>
            </w:tcMar>
          </w:tcPr>
          <w:p>
            <w:pPr>
              <w:spacing w:after="60"/>
            </w:pPr>
            <w:r>
              <w:rPr>
                <w:b w:val="0"/>
                <w:sz w:val="20"/>
              </w:rPr>
              <w:t>WE05</w:t>
            </w:r>
          </w:p>
        </w:tc>
        <w:tc>
          <w:tcPr>
            <w:tcW w:type="dxa" w:w="2381"/>
            <w:tcMar>
              <w:top w:w="85" w:type="dxa"/>
              <w:left w:w="85" w:type="dxa"/>
              <w:bottom w:w="85" w:type="dxa"/>
              <w:right w:w="85" w:type="dxa"/>
            </w:tcMar>
          </w:tcPr>
          <w:p>
            <w:pPr>
              <w:spacing w:after="60"/>
            </w:pPr>
            <w:r>
              <w:rPr>
                <w:b w:val="0"/>
                <w:sz w:val="20"/>
              </w:rPr>
              <w:t>459.000,00</w:t>
            </w:r>
          </w:p>
        </w:tc>
        <w:tc>
          <w:tcPr>
            <w:tcW w:type="dxa" w:w="4422"/>
            <w:tcMar>
              <w:top w:w="85" w:type="dxa"/>
              <w:left w:w="85" w:type="dxa"/>
              <w:bottom w:w="85" w:type="dxa"/>
              <w:right w:w="85" w:type="dxa"/>
            </w:tcMar>
          </w:tcPr>
          <w:p>
            <w:pPr>
              <w:spacing w:after="60"/>
            </w:pPr>
            <w:r>
              <w:rPr>
                <w:b w:val="0"/>
                <w:sz w:val="20"/>
              </w:rPr>
              <w:t>Karl Hoffmann und Hildegard Hoffmann</w:t>
            </w:r>
          </w:p>
        </w:tc>
      </w:tr>
      <w:tr>
        <w:trPr>
          <w:cantSplit/>
        </w:trPr>
        <w:tc>
          <w:tcPr>
            <w:tcW w:type="dxa" w:w="1134"/>
            <w:tcMar>
              <w:top w:w="85" w:type="dxa"/>
              <w:left w:w="85" w:type="dxa"/>
              <w:bottom w:w="85" w:type="dxa"/>
              <w:right w:w="85" w:type="dxa"/>
            </w:tcMar>
          </w:tcPr>
          <w:p>
            <w:pPr>
              <w:spacing w:after="60"/>
            </w:pPr>
            <w:r>
              <w:rPr>
                <w:b w:val="0"/>
                <w:sz w:val="20"/>
              </w:rPr>
              <w:t>WE06</w:t>
            </w:r>
          </w:p>
        </w:tc>
        <w:tc>
          <w:tcPr>
            <w:tcW w:type="dxa" w:w="2381"/>
            <w:tcMar>
              <w:top w:w="85" w:type="dxa"/>
              <w:left w:w="85" w:type="dxa"/>
              <w:bottom w:w="85" w:type="dxa"/>
              <w:right w:w="85" w:type="dxa"/>
            </w:tcMar>
          </w:tcPr>
          <w:p>
            <w:pPr>
              <w:spacing w:after="60"/>
            </w:pPr>
            <w:r>
              <w:rPr>
                <w:b w:val="0"/>
                <w:sz w:val="20"/>
              </w:rPr>
              <w:t>499.000,00</w:t>
            </w:r>
          </w:p>
        </w:tc>
        <w:tc>
          <w:tcPr>
            <w:tcW w:type="dxa" w:w="4422"/>
            <w:tcMar>
              <w:top w:w="85" w:type="dxa"/>
              <w:left w:w="85" w:type="dxa"/>
              <w:bottom w:w="85" w:type="dxa"/>
              <w:right w:w="85" w:type="dxa"/>
            </w:tcMar>
          </w:tcPr>
          <w:p>
            <w:pPr>
              <w:spacing w:after="60"/>
            </w:pPr>
            <w:r>
              <w:rPr>
                <w:b w:val="0"/>
                <w:sz w:val="20"/>
              </w:rPr>
              <w:t>Heinrich Koch und Elisabeth Koch</w:t>
            </w:r>
          </w:p>
        </w:tc>
      </w:tr>
      <w:tr>
        <w:trPr>
          <w:cantSplit/>
        </w:trPr>
        <w:tc>
          <w:tcPr>
            <w:tcW w:type="dxa" w:w="1134"/>
            <w:tcMar>
              <w:top w:w="85" w:type="dxa"/>
              <w:left w:w="85" w:type="dxa"/>
              <w:bottom w:w="85" w:type="dxa"/>
              <w:right w:w="85" w:type="dxa"/>
            </w:tcMar>
          </w:tcPr>
          <w:p>
            <w:pPr>
              <w:spacing w:after="60"/>
            </w:pPr>
            <w:r>
              <w:rPr>
                <w:b w:val="0"/>
                <w:sz w:val="20"/>
              </w:rPr>
              <w:t>WE07</w:t>
            </w:r>
          </w:p>
        </w:tc>
        <w:tc>
          <w:tcPr>
            <w:tcW w:type="dxa" w:w="2381"/>
            <w:tcMar>
              <w:top w:w="85" w:type="dxa"/>
              <w:left w:w="85" w:type="dxa"/>
              <w:bottom w:w="85" w:type="dxa"/>
              <w:right w:w="85" w:type="dxa"/>
            </w:tcMar>
          </w:tcPr>
          <w:p>
            <w:pPr>
              <w:spacing w:after="60"/>
            </w:pPr>
            <w:r>
              <w:rPr>
                <w:b w:val="0"/>
                <w:sz w:val="20"/>
              </w:rPr>
              <w:t>469.000,00</w:t>
            </w:r>
          </w:p>
        </w:tc>
        <w:tc>
          <w:tcPr>
            <w:tcW w:type="dxa" w:w="4422"/>
            <w:tcMar>
              <w:top w:w="85" w:type="dxa"/>
              <w:left w:w="85" w:type="dxa"/>
              <w:bottom w:w="85" w:type="dxa"/>
              <w:right w:w="85" w:type="dxa"/>
            </w:tcMar>
          </w:tcPr>
          <w:p>
            <w:pPr>
              <w:spacing w:after="60"/>
            </w:pPr>
            <w:r>
              <w:rPr>
                <w:b w:val="0"/>
                <w:sz w:val="20"/>
              </w:rPr>
              <w:t>Otto Fischer und Martha Fischer</w:t>
            </w:r>
          </w:p>
        </w:tc>
      </w:tr>
      <w:tr>
        <w:trPr>
          <w:cantSplit/>
        </w:trPr>
        <w:tc>
          <w:tcPr>
            <w:tcW w:type="dxa" w:w="1134"/>
            <w:tcMar>
              <w:top w:w="85" w:type="dxa"/>
              <w:left w:w="85" w:type="dxa"/>
              <w:bottom w:w="85" w:type="dxa"/>
              <w:right w:w="85" w:type="dxa"/>
            </w:tcMar>
          </w:tcPr>
          <w:p>
            <w:pPr>
              <w:spacing w:after="60"/>
            </w:pPr>
            <w:r>
              <w:rPr>
                <w:b w:val="0"/>
                <w:sz w:val="20"/>
              </w:rPr>
              <w:t>WE08</w:t>
            </w:r>
          </w:p>
        </w:tc>
        <w:tc>
          <w:tcPr>
            <w:tcW w:type="dxa" w:w="2381"/>
            <w:tcMar>
              <w:top w:w="85" w:type="dxa"/>
              <w:left w:w="85" w:type="dxa"/>
              <w:bottom w:w="85" w:type="dxa"/>
              <w:right w:w="85" w:type="dxa"/>
            </w:tcMar>
          </w:tcPr>
          <w:p>
            <w:pPr>
              <w:spacing w:after="60"/>
            </w:pPr>
            <w:r>
              <w:rPr>
                <w:b w:val="0"/>
                <w:sz w:val="20"/>
              </w:rPr>
              <w:t>479.000,00</w:t>
            </w:r>
          </w:p>
        </w:tc>
        <w:tc>
          <w:tcPr>
            <w:tcW w:type="dxa" w:w="4422"/>
            <w:tcMar>
              <w:top w:w="85" w:type="dxa"/>
              <w:left w:w="85" w:type="dxa"/>
              <w:bottom w:w="85" w:type="dxa"/>
              <w:right w:w="85" w:type="dxa"/>
            </w:tcMar>
          </w:tcPr>
          <w:p>
            <w:pPr>
              <w:spacing w:after="60"/>
            </w:pPr>
            <w:r>
              <w:rPr>
                <w:b w:val="0"/>
                <w:sz w:val="20"/>
              </w:rPr>
              <w:t>Wilhelm Weber und Gertrud Weber</w:t>
            </w:r>
          </w:p>
        </w:tc>
      </w:tr>
      <w:tr>
        <w:trPr>
          <w:cantSplit/>
        </w:trPr>
        <w:tc>
          <w:tcPr>
            <w:tcW w:type="dxa" w:w="1134"/>
            <w:tcMar>
              <w:top w:w="85" w:type="dxa"/>
              <w:left w:w="85" w:type="dxa"/>
              <w:bottom w:w="85" w:type="dxa"/>
              <w:right w:w="85" w:type="dxa"/>
            </w:tcMar>
          </w:tcPr>
          <w:p>
            <w:pPr>
              <w:spacing w:after="60"/>
            </w:pPr>
            <w:r>
              <w:rPr>
                <w:b w:val="0"/>
                <w:sz w:val="20"/>
              </w:rPr>
              <w:t>Gesamt</w:t>
            </w:r>
          </w:p>
        </w:tc>
        <w:tc>
          <w:tcPr>
            <w:tcW w:type="dxa" w:w="2381"/>
            <w:tcMar>
              <w:top w:w="85" w:type="dxa"/>
              <w:left w:w="85" w:type="dxa"/>
              <w:bottom w:w="85" w:type="dxa"/>
              <w:right w:w="85" w:type="dxa"/>
            </w:tcMar>
          </w:tcPr>
          <w:p>
            <w:pPr>
              <w:spacing w:after="60"/>
            </w:pPr>
            <w:r>
              <w:rPr>
                <w:b w:val="0"/>
                <w:sz w:val="20"/>
              </w:rPr>
              <w:t>3.672.000,00</w:t>
            </w:r>
          </w:p>
        </w:tc>
        <w:tc>
          <w:tcPr>
            <w:tcW w:type="dxa" w:w="4422"/>
            <w:tcMar>
              <w:top w:w="85" w:type="dxa"/>
              <w:left w:w="85" w:type="dxa"/>
              <w:bottom w:w="85" w:type="dxa"/>
              <w:right w:w="85" w:type="dxa"/>
            </w:tcMar>
          </w:tcPr>
          <w:p>
            <w:pPr>
              <w:spacing w:after="60"/>
            </w:pPr>
            <w:r>
              <w:rPr>
                <w:b w:val="0"/>
                <w:sz w:val="20"/>
              </w:rPr>
              <w:t>Acht voneinander getrennte Erwerbsvorgänge</w:t>
            </w:r>
          </w:p>
        </w:tc>
      </w:tr>
    </w:tbl>
    <w:p/>
    <w:p>
      <w:r>
        <w:t>Die Ansätze sind fiktive Verhandlungspreise und keine Marktwertermittlung. Aus ihrem Vergleich mit dem bisherigen Mietprojektbudget ergibt sich noch kein belastbarer Veräußerungsgewinn. Vertrieb, Teilung, Abgeschlossenheit, mögliche Zusatzkosten der Schallschutzanforderungen, Steuern, Finanzierung, Pfandfreigabe und Ausfallrisiken sind vor einer Freigabe gesondert zu kalkulieren. Die Projektbank hat noch keine auf diese Verkaufsoption bezogene Freistellung abgegeben.</w:t>
      </w:r>
    </w:p>
    <w:p>
      <w:pPr>
        <w:pStyle w:val="Heading1"/>
      </w:pPr>
      <w:r>
        <w:t>3 Voraussetzungen eines späteren Beschlusses</w:t>
      </w:r>
    </w:p>
    <w:p>
      <w:r>
        <w:t>Vor einer endgültigen Entscheidung sind eine marktbezogene Preisprüfung, eine aktualisierte Liquiditätsplanung ohne Doppelzählung von Mieten und Verkaufserlösen, die schriftliche Abstimmung mit der Projektbank und die rechtlich-technische Teilungsprüfung vorzulegen. Die notarielle Entwurfsfassung ist mit dem tatsächlichen Käufer und dem zum Abschluss geltenden Recht zu prüfen. Eine Vertriebsfreigabe darf nicht als Baufreigabe oder Kaufpreisfälligkeit behandelt werden.</w:t>
      </w:r>
    </w:p>
    <w:p>
      <w:pPr>
        <w:pStyle w:val="Heading1"/>
      </w:pPr>
      <w:r>
        <w:t>4 Zur Entscheidung gestellter Beschlusstext</w:t>
      </w:r>
    </w:p>
    <w:p>
      <w:r>
        <w:t>Die Gesellschafterversammlung beschließt, die Einzelverkaufsoption erst nach Vorlage und Zustimmung zu den in Ziffer 3 bezeichneten Unterlagen gesondert freizugeben. Bis dahin bleibt es bei der bestehenden Vermietungsplanung. Die Geschäftsführung darf in der Zwischenzeit unverbindliche Entwürfe und Kalkulationen vorbereiten, jedoch keine Kaufpreiszahlungen einziehen oder einen bereits beschlossenen Verkauf mitteilen.</w:t>
      </w:r>
    </w:p>
    <w:p>
      <w:r>
        <w:t>Abstimmung und Unterschriften sind offen. Diese Vorlage dokumentiert noch keinen gefassten Beschluss.</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Beschlussvorlage · Prüfung der Einzelverkaufsoption</dc:title>
  <dc:subject/>
  <dc:creator>Klotzkette</dc:creator>
  <cp:keywords/>
  <dc:description>generated by python-docx</dc:description>
  <cp:lastModifiedBy>Klotzkette</cp:lastModifiedBy>
  <cp:revision>1</cp:revision>
  <dcterms:created xsi:type="dcterms:W3CDTF">2027-11-01T00:00:00Z</dcterms:created>
  <dcterms:modified xsi:type="dcterms:W3CDTF">2027-11-01T00:00:00Z</dcterms:modified>
  <cp:category/>
  <dc:language>de-DE</dc:language>
</cp:coreProperties>
</file>