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Bauträgerkaufvertrag · Wohnung 02</w:t>
      </w:r>
    </w:p>
    <w:p>
      <w:r>
        <w:t>Stand 1. November 2027 · Option Einzelverkauf · Entwurf zur Abstimmung</w:t>
      </w:r>
    </w:p>
    <w:p>
      <w:r>
        <w:t>Urkundenverzeichnis: Nummer wird erst im Beurkundungstermin vergeben. Ort: Hildesheim. Beurkundungstag: noch nicht vereinbart. Diese Fassung enthält die vorgesehenen Erklärungen; eine Verlesung, Genehmigung, Unterzeichnung oder Grundbucheinsicht ist damit nicht bestätigt.</w:t>
      </w:r>
    </w:p>
    <w:p>
      <w:pPr>
        <w:pStyle w:val="Heading1"/>
      </w:pPr>
      <w:r>
        <w:t>1 Beteiligte und Verfahren</w:t>
      </w:r>
    </w:p>
    <w:p>
      <w:r>
        <w:t>Zur gemeinsamen Beurkundung vor Notar Dr. Johann Bauer mit dem Amtssitz Hildesheim sind vorgesehen: Frau Maren Birk, handelnd ausschließlich als einzelvertretungsberechtigte Geschäftsführerin der Steinbogen Wohnen GmbH, Wohnhof Am Steinbogen 18, 31134 Hildesheim, als Verkäuferin, sowie Georg Schmidt, geboren am 07.02.1961, und Margarete Schmidt, geboren am 19.09.1963, wohnhaft Wiesenbogen 7, 31135 Hildesheim, als Käuferseite. Die aktuelle Registerbezeichnung und die Vertretungsbefugnis der Verkäuferin sowie die Personalien werden anhand aktueller Unterlagen im Beurkundungsverfahren festgestellt.</w:t>
      </w:r>
    </w:p>
    <w:p>
      <w:r>
        <w:t>Die Käuferseite erwirbt für private Vermietung nach Übergabe. Sie handelt bei diesem Erwerb als Verbraucher. Eine spätere Vermietung aus dem Privatvermögen ändert diese Einordnung nicht allein wegen umsatzsteuerrechtlicher Begriffe. Die Beteiligten handeln jeweils im eigenen wirtschaftlichen Interesse. Etwaige abweichende wirtschaftlich Berechtigte sind dem Notar vor der Beurkundung offenzulegen.</w:t>
      </w:r>
    </w:p>
    <w:p>
      <w:r>
        <w:t>Die Eheleute erwerben jeweils einen hälftigen Anteil am nachstehend bezeichneten Wohnungseigentum. Für den Entwurf ist gesetzlicher Güterstand nach deutschem Recht vorgesehen; ausländische Bezüge, Eheverträge oder Verfügungsbeschränkungen sind vor Beurkundung festzustellen. Die Käufer haften für ihre vertraglichen Zahlungspflichten als Gesamtschuldner. Mitteilungen an mehrere Käufer müssen allen zugehen, soweit nicht nach Vertragsschluss eine gesonderte Empfangsvollmacht erteilt wird. Eine Empfangsvollmacht für Zahlungsaufforderungen ist kein Verzicht auf Einwendungen.</w:t>
      </w:r>
    </w:p>
    <w:p>
      <w:r>
        <w:t>Das Notariat soll der Käuferseite den vollständigen beabsichtigten Vertragstext mit den Anlagen rechtzeitig, im Regelfall mindestens zwei Wochen vor dem Termin, zur Verfügung stellen. Der tatsächliche Zugangszeitpunkt wird in der Nebenakte nachgewiesen und erst dann in die Niederschrift übernommen. Eine Verkürzung wird mit diesem Entwurf weder verlangt noch erklärt. Wesentliche spätere Änderungen werden mit dem Notariat besprochen, damit ausreichend Gelegenheit zur Prüfung bleibt.</w:t>
      </w:r>
    </w:p>
    <w:p>
      <w:pPr>
        <w:pStyle w:val="Heading1"/>
      </w:pPr>
      <w:r>
        <w:t>2 Grundstück, Teilung und Vertragsgegenstand</w:t>
      </w:r>
    </w:p>
    <w:p>
      <w:r>
        <w:t>Ausgangspunkt ist das Grundstück Grundbuch von Hildesheim Blatt 88018, Gemarkung Hildesheim, Flur 88, Flurstück 18/6, Gebäude- und Freifläche Wohnhof Am Steinbogen 18, Größe 1.300 m². Die Verkäuferin ist im Hauptprojekt als Grundstückseigentümerin vorgesehen. In Abteilung III besteht die projektbezogene Grundschuld zugunsten der Leinebogen Projektbank AG über 1.600.000,00 EUR mit dinglichen Zinsen und Nebenleistung gemäß Grundschuldbestellung UVZ 139/2026 der Notarin Dr. Carla Fink. Die Käuferseite übernimmt diese Belastung nicht. Maßgeblich für die endgültige Urkunde sind der aktuelle vollständige Grundbuchinhalt und offene Anträge; der Entwurf behauptet keine zwischenzeitliche Löschung oder aktuelle Einsicht.</w:t>
      </w:r>
    </w:p>
    <w:p>
      <w:r>
        <w:t>Die Verkäuferin verkauft der Käuferseite den zu bildenden Miteigentumsanteil von 75/600 an diesem Grundstück, verbunden mit dem Sondereigentum an der Wohnung Nummer 02 im Erdgeschoss, mittlerer Gebäudeteil, und dem dieser Wohnung zugeordneten Sondernutzungsrecht am Pkw-Stellplatz Nummer 02. Die genaue Abgrenzung ergibt sich aus dem noch behördlich zu bescheinigenden Aufteilungsplan. Es wird kein Keller, kein Dachterrassenrecht und kein ausschließliches Gartennutzungsrecht verkauft. Im Wohnungsinneren liegt ein eigener Abstellraum.</w:t>
      </w:r>
    </w:p>
    <w:p>
      <w:r>
        <w:t>Die vereinbarte Wohnfläche beträgt 75,00 m² nach der beigefügten wohnungsbezogenen Raumflächenliste. Die aufgeführten Räume werden vollständig und Außenflächen nicht angerechnet. Eine pauschale Minderflächentoleranz oder ein Verzicht auf Rechte bei Flächenabweichungen ist nicht vereinbart. Die Festpreisvereinbarung lässt gesetzliche Rechte wegen einer Abweichung von der vereinbarten Beschaffenheit unberührt. Bewegliche Möbel in Plandarstellungen gehören nicht zum Kaufgegenstand.</w:t>
      </w:r>
    </w:p>
    <w:p>
      <w:r>
        <w:t>Die Verkäuferin verpflichtet sich, die Teilung entsprechend dem beigefügten Teilungserklärungsentwurf und der abgestimmten Aufteilung durchzuführen. Zur Beurkundung müssen ein hinreichend bestimmter Aufteilungsplan und der vollständige Text der einzubeziehenden Bezugsurkunde vorliegen. Die Anlage „Vorbereitung Aufteilungsplan“ ist bis zur Ergänzung der behördlich erforderlichen Unterlagen eine Planungsvorgabe und keine Abgeschlossenheitsbescheinigung. Vor Eintragung des Wohnungseigentums und der Erwerbervormerkung dürfen keine Kaufpreisraten angefordert werden.</w:t>
      </w:r>
    </w:p>
    <w:p>
      <w:pPr>
        <w:pStyle w:val="Heading1"/>
      </w:pPr>
      <w:r>
        <w:t>3 Herstellungspflicht und Beschaffenheit</w:t>
      </w:r>
    </w:p>
    <w:p>
      <w:r>
        <w:t>Die Verkäuferin errichtet das Wohngebäude mit acht Wohnungen, drei oberirdischen Geschossen und 820 m² Brutto-Grundfläche ohne Keller auf eigene Verantwortung und Kosten. Sie schuldet die bezugsfertige und vollständige Herstellung des verkauften Sondereigentums sowie des vertragsgemäßen Gemeinschaftseigentums einschließlich Erschließung und Außenanlagen. Sie darf geeignete Fachunternehmen und Planer beauftragen, bleibt aber der Käuferseite für die vertragliche Leistung verantwortlich.</w:t>
      </w:r>
    </w:p>
    <w:p>
      <w:r>
        <w:t>Vertragsbestandteile werden die Baubeschreibung BT-BB-01, die Raumflächenliste für diese Wohnung, die in der Anlagenliste nach Bezeichnung und Stand bestimmten Pläne, der Zahlungsplan, die Sondernutzungszuordnung und der beurkundete Teilungstext. Tatsächlich ausgehandelte Einzelabreden gehen vor. Eine unaufgelöste Unstimmigkeit wird vor Beurkundung geklärt und im betroffenen Dokument berichtigt; die Verkäuferin darf den Leistungsumfang nicht durch freie Wahl des für sie günstigeren Dokuments bestimmen.</w:t>
      </w:r>
    </w:p>
    <w:p>
      <w:r>
        <w:t>Die genehmigte Wohnnutzung, die zwingenden öffentlich-rechtlichen Anforderungen und die bei Abnahme maßgeblichen anerkannten Regeln der Technik bleiben geschuldet. Alle Wohnungen sind barrierefrei herzustellen; Wohnung 01 wird zusätzlich rollstuhlgerecht mit den konkret vereinbarten Bewegungsflächen ausgeführt. Für den Schallschutz werden die in BT-BB-01 bezeichneten numerischen Vertragswerte vereinbart. Ein bloßer Hinweis auf eine Mindestnorm ersetzt diese Beschaffenheitsvereinbarung nicht.</w:t>
      </w:r>
    </w:p>
    <w:p>
      <w:r>
        <w:t>Nicht enthalten sind eine Einbauküche, lose Möblierung, individuelle Haushaltsgeräte, eine individuelle PV-Anlage je Wohnung oder ein garantierter Mieterstromtarif. Die gemeinsame PV-Anlage mit 36 kWp dient dem vorgesehenen Allgemeinstrom- und Überschusskonzept. Ein steuerlicher Vorteil, eine bestimmte Rendite, ein Wiederverkaufspreis oder ein bestimmter individueller Verbrauch wird nicht zugesagt. Bewusst falsche Angaben und ausdrücklich übernommene Zusagen werden durch diese Leistungsabgrenzung nicht entkräftet.</w:t>
      </w:r>
    </w:p>
    <w:p>
      <w:pPr>
        <w:pStyle w:val="Heading1"/>
      </w:pPr>
      <w:r>
        <w:t>4 Kaufpreis und enthaltene Kosten</w:t>
      </w:r>
    </w:p>
    <w:p>
      <w:r>
        <w:t>Der Kaufpreis beträgt 449.000,00 EUR. Darin enthalten ist das vereinbarte Sondernutzungsrecht am Stellplatz mit einem kalkulatorischen Teilbetrag von 15.000,00 EUR. Die Verkäuferin erhält den gesamten Festpreis für Grundstücksanteil, Herstellung und die im Leistungsumfang eingeschlossenen Anschlüsse. Die Aufgliederung des Stellplatzanteils begründet keine selbstständig abrufbare zusätzliche Rate. Die Angabe ist keine steuerliche Kaufpreisaufteilung zwischen Grund und Boden und Gebäude.</w:t>
      </w:r>
    </w:p>
    <w:p>
      <w:r>
        <w:t>Der Preis umfasst die für das genehmigte Vorhaben erforderlichen Erschließungs- und Hausanschlussleistungen, die Herstellung der vereinbarten Stellplätze, Fahrradflächen und Spielfläche sowie die Kosten der Teilung und der hierfür benötigten Unterlagen. Die Verkäuferin trägt öffentliche Beiträge und Anschlusskosten für die dem Vertrag zugrunde liegende erstmalige Herstellung, auch wenn ein entsprechender Bescheid erst nach Besitzübergabe ergeht. Nicht eingeschlossen sind nach Besitzübergabe neu beschlossene öffentliche Verbesserungsmaßnahmen ohne Bezug zur geschuldeten erstmaligen Herstellung.</w:t>
      </w:r>
    </w:p>
    <w:p>
      <w:r>
        <w:t>Eine zusätzliche Umsatzsteuer wird der Käuferseite nicht in Rechnung gestellt. Unberührt bleiben die ausdrücklich vereinbarten Erwerbsnebenkosten und spätere wirksam vereinbarte Sonderwünsche. Baupreissteigerungen, die normale Beschaffungsorganisation und die Finanzierungskosten der Verkäuferin berechtigen nicht zu einer einseitigen Kaufpreiserhöhung. Die wirtschaftliche Kalkulation des Projekts und die Freigabe des alternativen Verkaufszweigs werden außerhalb dieser Urkunde geführt.</w:t>
      </w:r>
    </w:p>
    <w:p>
      <w:pPr>
        <w:pStyle w:val="Heading1"/>
      </w:pPr>
      <w:r>
        <w:t>5 Allgemeine Fälligkeitsvoraussetzungen</w:t>
      </w:r>
    </w:p>
    <w:p>
      <w:r>
        <w:t>Kaufpreiszahlungen dürfen erst verlangt und entgegengenommen werden, wenn der Vertrag rechtswirksam ist, die zu seinem Vollzug erforderlichen Genehmigungen vorliegen und der Notar dies schriftlich mitgeteilt hat. Der Verkäuferin werden keine vertraglichen Rücktrittsvorbehalte eingeräumt. Das verkaufte Wohnungseigentum muss im Grundbuch begründet und die Vormerkung zur Sicherung des Erwerbsanspruchs an der vereinbarten Rangstelle eingetragen sein. Nicht übernommene vorrangige oder gleichrangige Grundpfandrechte müssen nach Maßgabe der MaBV zur Freistellung gesichert sein.</w:t>
      </w:r>
    </w:p>
    <w:p>
      <w:r>
        <w:t>Die Freistellungserklärung der Projektbank muss der Käuferseite ausgehändigt werden. Sie muss den Fall vollständiger und unvollständiger Bauausführung umfassen und den gesetzlich zulässigen Inhalt haben. Die bloße Benennung einer Ablösesumme oder die Hoffnung auf spätere Bankzustimmung genügt nicht. Der Grundpfandrechtsgläubiger darf nur nach dem ausgehändigten Freistellungsmechanismus befriedigt werden. Erwerberzahlungen auf ein ausdrücklich bezeichnetes Ablösekonto wirken im entsprechenden Umfang gegenüber der Verkäuferin kaufpreiserfüllend.</w:t>
      </w:r>
    </w:p>
    <w:p>
      <w:r>
        <w:t>Ferner muss die für die konkrete Ausführung erforderliche Baugenehmigung vorliegen und die Bauausführung in ihrem zulässigen Umfang gestatten. Der Projektstand sieht die Genehmigung vom 16. Juli 2027 vor; Abweichungen und Nebenbestimmungen sind vor dem tatsächlichen Abruf zu prüfen. Die notarielle Fälligkeitsmitteilung ersetzt keine Bautenstandsprüfung. Eine Bestätigung der Verkäuferin über einen Baufortschritt ersetzt ihrerseits weder die Notarmitteilung noch die Bankfreistellung.</w:t>
      </w:r>
    </w:p>
    <w:p>
      <w:pPr>
        <w:pStyle w:val="Heading1"/>
      </w:pPr>
      <w:r>
        <w:t>6 Sieben Raten und Fertigstellungssicherheit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5272"/>
        <w:gridCol w:w="1020"/>
        <w:gridCol w:w="1984"/>
      </w:tblGrid>
      <w:tr>
        <w:trPr>
          <w:cantSplit/>
          <w:tblHeader/>
        </w:trPr>
        <w:tc>
          <w:tcPr>
            <w:tcW w:type="dxa" w:w="794"/>
            <w:tcMar>
              <w:top w:w="85" w:type="dxa"/>
              <w:left w:w="85" w:type="dxa"/>
              <w:bottom w:w="85" w:type="dxa"/>
              <w:right w:w="85" w:type="dxa"/>
            </w:tcMar>
            <w:shd w:fill="E8EDF0"/>
          </w:tcPr>
          <w:p>
            <w:pPr>
              <w:spacing w:after="60"/>
            </w:pPr>
            <w:r>
              <w:rPr>
                <w:b/>
                <w:sz w:val="20"/>
              </w:rPr>
              <w:t>Rate</w:t>
            </w:r>
          </w:p>
        </w:tc>
        <w:tc>
          <w:tcPr>
            <w:tcW w:type="dxa" w:w="5272"/>
            <w:tcMar>
              <w:top w:w="85" w:type="dxa"/>
              <w:left w:w="85" w:type="dxa"/>
              <w:bottom w:w="85" w:type="dxa"/>
              <w:right w:w="85" w:type="dxa"/>
            </w:tcMar>
            <w:shd w:fill="E8EDF0"/>
          </w:tcPr>
          <w:p>
            <w:pPr>
              <w:spacing w:after="60"/>
            </w:pPr>
            <w:r>
              <w:rPr>
                <w:b/>
                <w:sz w:val="20"/>
              </w:rPr>
              <w:t>Voraussetzung</w:t>
            </w:r>
          </w:p>
        </w:tc>
        <w:tc>
          <w:tcPr>
            <w:tcW w:type="dxa" w:w="1020"/>
            <w:tcMar>
              <w:top w:w="85" w:type="dxa"/>
              <w:left w:w="85" w:type="dxa"/>
              <w:bottom w:w="85" w:type="dxa"/>
              <w:right w:w="85" w:type="dxa"/>
            </w:tcMar>
            <w:shd w:fill="E8EDF0"/>
          </w:tcPr>
          <w:p>
            <w:pPr>
              <w:spacing w:after="60"/>
            </w:pPr>
            <w:r>
              <w:rPr>
                <w:b/>
                <w:sz w:val="20"/>
              </w:rPr>
              <w:t>Anteil</w:t>
            </w:r>
          </w:p>
        </w:tc>
        <w:tc>
          <w:tcPr>
            <w:tcW w:type="dxa" w:w="1984"/>
            <w:tcMar>
              <w:top w:w="85" w:type="dxa"/>
              <w:left w:w="85" w:type="dxa"/>
              <w:bottom w:w="85" w:type="dxa"/>
              <w:right w:w="85" w:type="dxa"/>
            </w:tcMar>
            <w:shd w:fill="E8EDF0"/>
          </w:tcPr>
          <w:p>
            <w:pPr>
              <w:spacing w:after="60"/>
            </w:pPr>
            <w:r>
              <w:rPr>
                <w:b/>
                <w:sz w:val="20"/>
              </w:rPr>
              <w:t>Betrag EUR</w:t>
            </w:r>
          </w:p>
        </w:tc>
      </w:tr>
      <w:tr>
        <w:trPr>
          <w:cantSplit/>
        </w:trPr>
        <w:tc>
          <w:tcPr>
            <w:tcW w:type="dxa" w:w="794"/>
            <w:tcMar>
              <w:top w:w="85" w:type="dxa"/>
              <w:left w:w="85" w:type="dxa"/>
              <w:bottom w:w="85" w:type="dxa"/>
              <w:right w:w="85" w:type="dxa"/>
            </w:tcMar>
          </w:tcPr>
          <w:p>
            <w:pPr>
              <w:spacing w:after="60"/>
            </w:pPr>
            <w:r>
              <w:rPr>
                <w:b w:val="0"/>
                <w:sz w:val="20"/>
              </w:rPr>
              <w:t>1</w:t>
            </w:r>
          </w:p>
        </w:tc>
        <w:tc>
          <w:tcPr>
            <w:tcW w:type="dxa" w:w="5272"/>
            <w:tcMar>
              <w:top w:w="85" w:type="dxa"/>
              <w:left w:w="85" w:type="dxa"/>
              <w:bottom w:w="85" w:type="dxa"/>
              <w:right w:w="85" w:type="dxa"/>
            </w:tcMar>
          </w:tcPr>
          <w:p>
            <w:pPr>
              <w:spacing w:after="60"/>
            </w:pPr>
            <w:r>
              <w:rPr>
                <w:b w:val="0"/>
                <w:sz w:val="20"/>
              </w:rPr>
              <w:t>Beginn der Erdarbeiten</w:t>
            </w:r>
          </w:p>
        </w:tc>
        <w:tc>
          <w:tcPr>
            <w:tcW w:type="dxa" w:w="1020"/>
            <w:tcMar>
              <w:top w:w="85" w:type="dxa"/>
              <w:left w:w="85" w:type="dxa"/>
              <w:bottom w:w="85" w:type="dxa"/>
              <w:right w:w="85" w:type="dxa"/>
            </w:tcMar>
          </w:tcPr>
          <w:p>
            <w:pPr>
              <w:spacing w:after="60"/>
            </w:pPr>
            <w:r>
              <w:rPr>
                <w:b w:val="0"/>
                <w:sz w:val="20"/>
              </w:rPr>
              <w:t>30 %</w:t>
            </w:r>
          </w:p>
        </w:tc>
        <w:tc>
          <w:tcPr>
            <w:tcW w:type="dxa" w:w="1984"/>
            <w:tcMar>
              <w:top w:w="85" w:type="dxa"/>
              <w:left w:w="85" w:type="dxa"/>
              <w:bottom w:w="85" w:type="dxa"/>
              <w:right w:w="85" w:type="dxa"/>
            </w:tcMar>
          </w:tcPr>
          <w:p>
            <w:pPr>
              <w:spacing w:after="60"/>
            </w:pPr>
            <w:r>
              <w:rPr>
                <w:b w:val="0"/>
                <w:sz w:val="20"/>
              </w:rPr>
              <w:t>134.700,00</w:t>
            </w:r>
          </w:p>
        </w:tc>
      </w:tr>
      <w:tr>
        <w:trPr>
          <w:cantSplit/>
        </w:trPr>
        <w:tc>
          <w:tcPr>
            <w:tcW w:type="dxa" w:w="794"/>
            <w:tcMar>
              <w:top w:w="85" w:type="dxa"/>
              <w:left w:w="85" w:type="dxa"/>
              <w:bottom w:w="85" w:type="dxa"/>
              <w:right w:w="85" w:type="dxa"/>
            </w:tcMar>
          </w:tcPr>
          <w:p>
            <w:pPr>
              <w:spacing w:after="60"/>
            </w:pPr>
            <w:r>
              <w:rPr>
                <w:b w:val="0"/>
                <w:sz w:val="20"/>
              </w:rPr>
              <w:t>2</w:t>
            </w:r>
          </w:p>
        </w:tc>
        <w:tc>
          <w:tcPr>
            <w:tcW w:type="dxa" w:w="5272"/>
            <w:tcMar>
              <w:top w:w="85" w:type="dxa"/>
              <w:left w:w="85" w:type="dxa"/>
              <w:bottom w:w="85" w:type="dxa"/>
              <w:right w:w="85" w:type="dxa"/>
            </w:tcMar>
          </w:tcPr>
          <w:p>
            <w:pPr>
              <w:spacing w:after="60"/>
            </w:pPr>
            <w:r>
              <w:rPr>
                <w:b w:val="0"/>
                <w:sz w:val="20"/>
              </w:rPr>
              <w:t>Fertigstellung des Rohbaus einschließlich Zimmererarbeiten</w:t>
            </w:r>
          </w:p>
        </w:tc>
        <w:tc>
          <w:tcPr>
            <w:tcW w:type="dxa" w:w="1020"/>
            <w:tcMar>
              <w:top w:w="85" w:type="dxa"/>
              <w:left w:w="85" w:type="dxa"/>
              <w:bottom w:w="85" w:type="dxa"/>
              <w:right w:w="85" w:type="dxa"/>
            </w:tcMar>
          </w:tcPr>
          <w:p>
            <w:pPr>
              <w:spacing w:after="60"/>
            </w:pPr>
            <w:r>
              <w:rPr>
                <w:b w:val="0"/>
                <w:sz w:val="20"/>
              </w:rPr>
              <w:t>28 %</w:t>
            </w:r>
          </w:p>
        </w:tc>
        <w:tc>
          <w:tcPr>
            <w:tcW w:type="dxa" w:w="1984"/>
            <w:tcMar>
              <w:top w:w="85" w:type="dxa"/>
              <w:left w:w="85" w:type="dxa"/>
              <w:bottom w:w="85" w:type="dxa"/>
              <w:right w:w="85" w:type="dxa"/>
            </w:tcMar>
          </w:tcPr>
          <w:p>
            <w:pPr>
              <w:spacing w:after="60"/>
            </w:pPr>
            <w:r>
              <w:rPr>
                <w:b w:val="0"/>
                <w:sz w:val="20"/>
              </w:rPr>
              <w:t>125.720,00</w:t>
            </w:r>
          </w:p>
        </w:tc>
      </w:tr>
      <w:tr>
        <w:trPr>
          <w:cantSplit/>
        </w:trPr>
        <w:tc>
          <w:tcPr>
            <w:tcW w:type="dxa" w:w="794"/>
            <w:tcMar>
              <w:top w:w="85" w:type="dxa"/>
              <w:left w:w="85" w:type="dxa"/>
              <w:bottom w:w="85" w:type="dxa"/>
              <w:right w:w="85" w:type="dxa"/>
            </w:tcMar>
          </w:tcPr>
          <w:p>
            <w:pPr>
              <w:spacing w:after="60"/>
            </w:pPr>
            <w:r>
              <w:rPr>
                <w:b w:val="0"/>
                <w:sz w:val="20"/>
              </w:rPr>
              <w:t>3</w:t>
            </w:r>
          </w:p>
        </w:tc>
        <w:tc>
          <w:tcPr>
            <w:tcW w:type="dxa" w:w="5272"/>
            <w:tcMar>
              <w:top w:w="85" w:type="dxa"/>
              <w:left w:w="85" w:type="dxa"/>
              <w:bottom w:w="85" w:type="dxa"/>
              <w:right w:w="85" w:type="dxa"/>
            </w:tcMar>
          </w:tcPr>
          <w:p>
            <w:pPr>
              <w:spacing w:after="60"/>
            </w:pPr>
            <w:r>
              <w:rPr>
                <w:b w:val="0"/>
                <w:sz w:val="20"/>
              </w:rPr>
              <w:t>Herstellung der Dachflächen und Dachrinnen sowie Fenstereinbau einschließlich Verglasung</w:t>
            </w:r>
          </w:p>
        </w:tc>
        <w:tc>
          <w:tcPr>
            <w:tcW w:type="dxa" w:w="1020"/>
            <w:tcMar>
              <w:top w:w="85" w:type="dxa"/>
              <w:left w:w="85" w:type="dxa"/>
              <w:bottom w:w="85" w:type="dxa"/>
              <w:right w:w="85" w:type="dxa"/>
            </w:tcMar>
          </w:tcPr>
          <w:p>
            <w:pPr>
              <w:spacing w:after="60"/>
            </w:pPr>
            <w:r>
              <w:rPr>
                <w:b w:val="0"/>
                <w:sz w:val="20"/>
              </w:rPr>
              <w:t>12,6 %</w:t>
            </w:r>
          </w:p>
        </w:tc>
        <w:tc>
          <w:tcPr>
            <w:tcW w:type="dxa" w:w="1984"/>
            <w:tcMar>
              <w:top w:w="85" w:type="dxa"/>
              <w:left w:w="85" w:type="dxa"/>
              <w:bottom w:w="85" w:type="dxa"/>
              <w:right w:w="85" w:type="dxa"/>
            </w:tcMar>
          </w:tcPr>
          <w:p>
            <w:pPr>
              <w:spacing w:after="60"/>
            </w:pPr>
            <w:r>
              <w:rPr>
                <w:b w:val="0"/>
                <w:sz w:val="20"/>
              </w:rPr>
              <w:t>56.574,00</w:t>
            </w:r>
          </w:p>
        </w:tc>
      </w:tr>
      <w:tr>
        <w:trPr>
          <w:cantSplit/>
        </w:trPr>
        <w:tc>
          <w:tcPr>
            <w:tcW w:type="dxa" w:w="794"/>
            <w:tcMar>
              <w:top w:w="85" w:type="dxa"/>
              <w:left w:w="85" w:type="dxa"/>
              <w:bottom w:w="85" w:type="dxa"/>
              <w:right w:w="85" w:type="dxa"/>
            </w:tcMar>
          </w:tcPr>
          <w:p>
            <w:pPr>
              <w:spacing w:after="60"/>
            </w:pPr>
            <w:r>
              <w:rPr>
                <w:b w:val="0"/>
                <w:sz w:val="20"/>
              </w:rPr>
              <w:t>4</w:t>
            </w:r>
          </w:p>
        </w:tc>
        <w:tc>
          <w:tcPr>
            <w:tcW w:type="dxa" w:w="5272"/>
            <w:tcMar>
              <w:top w:w="85" w:type="dxa"/>
              <w:left w:w="85" w:type="dxa"/>
              <w:bottom w:w="85" w:type="dxa"/>
              <w:right w:w="85" w:type="dxa"/>
            </w:tcMar>
          </w:tcPr>
          <w:p>
            <w:pPr>
              <w:spacing w:after="60"/>
            </w:pPr>
            <w:r>
              <w:rPr>
                <w:b w:val="0"/>
                <w:sz w:val="20"/>
              </w:rPr>
              <w:t>Vollständige Rohinstallation von Heizung, Sanitär und Elektro</w:t>
            </w:r>
          </w:p>
        </w:tc>
        <w:tc>
          <w:tcPr>
            <w:tcW w:type="dxa" w:w="1020"/>
            <w:tcMar>
              <w:top w:w="85" w:type="dxa"/>
              <w:left w:w="85" w:type="dxa"/>
              <w:bottom w:w="85" w:type="dxa"/>
              <w:right w:w="85" w:type="dxa"/>
            </w:tcMar>
          </w:tcPr>
          <w:p>
            <w:pPr>
              <w:spacing w:after="60"/>
            </w:pPr>
            <w:r>
              <w:rPr>
                <w:b w:val="0"/>
                <w:sz w:val="20"/>
              </w:rPr>
              <w:t>6,3 %</w:t>
            </w:r>
          </w:p>
        </w:tc>
        <w:tc>
          <w:tcPr>
            <w:tcW w:type="dxa" w:w="1984"/>
            <w:tcMar>
              <w:top w:w="85" w:type="dxa"/>
              <w:left w:w="85" w:type="dxa"/>
              <w:bottom w:w="85" w:type="dxa"/>
              <w:right w:w="85" w:type="dxa"/>
            </w:tcMar>
          </w:tcPr>
          <w:p>
            <w:pPr>
              <w:spacing w:after="60"/>
            </w:pPr>
            <w:r>
              <w:rPr>
                <w:b w:val="0"/>
                <w:sz w:val="20"/>
              </w:rPr>
              <w:t>28.287,00</w:t>
            </w:r>
          </w:p>
        </w:tc>
      </w:tr>
      <w:tr>
        <w:trPr>
          <w:cantSplit/>
        </w:trPr>
        <w:tc>
          <w:tcPr>
            <w:tcW w:type="dxa" w:w="794"/>
            <w:tcMar>
              <w:top w:w="85" w:type="dxa"/>
              <w:left w:w="85" w:type="dxa"/>
              <w:bottom w:w="85" w:type="dxa"/>
              <w:right w:w="85" w:type="dxa"/>
            </w:tcMar>
          </w:tcPr>
          <w:p>
            <w:pPr>
              <w:spacing w:after="60"/>
            </w:pPr>
            <w:r>
              <w:rPr>
                <w:b w:val="0"/>
                <w:sz w:val="20"/>
              </w:rPr>
              <w:t>5</w:t>
            </w:r>
          </w:p>
        </w:tc>
        <w:tc>
          <w:tcPr>
            <w:tcW w:type="dxa" w:w="5272"/>
            <w:tcMar>
              <w:top w:w="85" w:type="dxa"/>
              <w:left w:w="85" w:type="dxa"/>
              <w:bottom w:w="85" w:type="dxa"/>
              <w:right w:w="85" w:type="dxa"/>
            </w:tcMar>
          </w:tcPr>
          <w:p>
            <w:pPr>
              <w:spacing w:after="60"/>
            </w:pPr>
            <w:r>
              <w:rPr>
                <w:b w:val="0"/>
                <w:sz w:val="20"/>
              </w:rPr>
              <w:t>Innenputz ohne Beiputzarbeiten, Estrich und Fassadenarbeiten</w:t>
            </w:r>
          </w:p>
        </w:tc>
        <w:tc>
          <w:tcPr>
            <w:tcW w:type="dxa" w:w="1020"/>
            <w:tcMar>
              <w:top w:w="85" w:type="dxa"/>
              <w:left w:w="85" w:type="dxa"/>
              <w:bottom w:w="85" w:type="dxa"/>
              <w:right w:w="85" w:type="dxa"/>
            </w:tcMar>
          </w:tcPr>
          <w:p>
            <w:pPr>
              <w:spacing w:after="60"/>
            </w:pPr>
            <w:r>
              <w:rPr>
                <w:b w:val="0"/>
                <w:sz w:val="20"/>
              </w:rPr>
              <w:t>8,4 %</w:t>
            </w:r>
          </w:p>
        </w:tc>
        <w:tc>
          <w:tcPr>
            <w:tcW w:type="dxa" w:w="1984"/>
            <w:tcMar>
              <w:top w:w="85" w:type="dxa"/>
              <w:left w:w="85" w:type="dxa"/>
              <w:bottom w:w="85" w:type="dxa"/>
              <w:right w:w="85" w:type="dxa"/>
            </w:tcMar>
          </w:tcPr>
          <w:p>
            <w:pPr>
              <w:spacing w:after="60"/>
            </w:pPr>
            <w:r>
              <w:rPr>
                <w:b w:val="0"/>
                <w:sz w:val="20"/>
              </w:rPr>
              <w:t>37.716,00</w:t>
            </w:r>
          </w:p>
        </w:tc>
      </w:tr>
      <w:tr>
        <w:trPr>
          <w:cantSplit/>
        </w:trPr>
        <w:tc>
          <w:tcPr>
            <w:tcW w:type="dxa" w:w="794"/>
            <w:tcMar>
              <w:top w:w="85" w:type="dxa"/>
              <w:left w:w="85" w:type="dxa"/>
              <w:bottom w:w="85" w:type="dxa"/>
              <w:right w:w="85" w:type="dxa"/>
            </w:tcMar>
          </w:tcPr>
          <w:p>
            <w:pPr>
              <w:spacing w:after="60"/>
            </w:pPr>
            <w:r>
              <w:rPr>
                <w:b w:val="0"/>
                <w:sz w:val="20"/>
              </w:rPr>
              <w:t>6</w:t>
            </w:r>
          </w:p>
        </w:tc>
        <w:tc>
          <w:tcPr>
            <w:tcW w:type="dxa" w:w="5272"/>
            <w:tcMar>
              <w:top w:w="85" w:type="dxa"/>
              <w:left w:w="85" w:type="dxa"/>
              <w:bottom w:w="85" w:type="dxa"/>
              <w:right w:w="85" w:type="dxa"/>
            </w:tcMar>
          </w:tcPr>
          <w:p>
            <w:pPr>
              <w:spacing w:after="60"/>
            </w:pPr>
            <w:r>
              <w:rPr>
                <w:b w:val="0"/>
                <w:sz w:val="20"/>
              </w:rPr>
              <w:t>Fliesenarbeiten im Sanitärbereich und Bezugsfertigkeit, Zug um Zug gegen Besitzübergabe</w:t>
            </w:r>
          </w:p>
        </w:tc>
        <w:tc>
          <w:tcPr>
            <w:tcW w:type="dxa" w:w="1020"/>
            <w:tcMar>
              <w:top w:w="85" w:type="dxa"/>
              <w:left w:w="85" w:type="dxa"/>
              <w:bottom w:w="85" w:type="dxa"/>
              <w:right w:w="85" w:type="dxa"/>
            </w:tcMar>
          </w:tcPr>
          <w:p>
            <w:pPr>
              <w:spacing w:after="60"/>
            </w:pPr>
            <w:r>
              <w:rPr>
                <w:b w:val="0"/>
                <w:sz w:val="20"/>
              </w:rPr>
              <w:t>11,2 %</w:t>
            </w:r>
          </w:p>
        </w:tc>
        <w:tc>
          <w:tcPr>
            <w:tcW w:type="dxa" w:w="1984"/>
            <w:tcMar>
              <w:top w:w="85" w:type="dxa"/>
              <w:left w:w="85" w:type="dxa"/>
              <w:bottom w:w="85" w:type="dxa"/>
              <w:right w:w="85" w:type="dxa"/>
            </w:tcMar>
          </w:tcPr>
          <w:p>
            <w:pPr>
              <w:spacing w:after="60"/>
            </w:pPr>
            <w:r>
              <w:rPr>
                <w:b w:val="0"/>
                <w:sz w:val="20"/>
              </w:rPr>
              <w:t>50.288,00</w:t>
            </w:r>
          </w:p>
        </w:tc>
      </w:tr>
      <w:tr>
        <w:trPr>
          <w:cantSplit/>
        </w:trPr>
        <w:tc>
          <w:tcPr>
            <w:tcW w:type="dxa" w:w="794"/>
            <w:tcMar>
              <w:top w:w="85" w:type="dxa"/>
              <w:left w:w="85" w:type="dxa"/>
              <w:bottom w:w="85" w:type="dxa"/>
              <w:right w:w="85" w:type="dxa"/>
            </w:tcMar>
          </w:tcPr>
          <w:p>
            <w:pPr>
              <w:spacing w:after="60"/>
            </w:pPr>
            <w:r>
              <w:rPr>
                <w:b w:val="0"/>
                <w:sz w:val="20"/>
              </w:rPr>
              <w:t>7</w:t>
            </w:r>
          </w:p>
        </w:tc>
        <w:tc>
          <w:tcPr>
            <w:tcW w:type="dxa" w:w="5272"/>
            <w:tcMar>
              <w:top w:w="85" w:type="dxa"/>
              <w:left w:w="85" w:type="dxa"/>
              <w:bottom w:w="85" w:type="dxa"/>
              <w:right w:w="85" w:type="dxa"/>
            </w:tcMar>
          </w:tcPr>
          <w:p>
            <w:pPr>
              <w:spacing w:after="60"/>
            </w:pPr>
            <w:r>
              <w:rPr>
                <w:b w:val="0"/>
                <w:sz w:val="20"/>
              </w:rPr>
              <w:t>Vollständige Fertigstellung einschließlich protokollierter Restleistungen und Mängelbeseitigung</w:t>
            </w:r>
          </w:p>
        </w:tc>
        <w:tc>
          <w:tcPr>
            <w:tcW w:type="dxa" w:w="1020"/>
            <w:tcMar>
              <w:top w:w="85" w:type="dxa"/>
              <w:left w:w="85" w:type="dxa"/>
              <w:bottom w:w="85" w:type="dxa"/>
              <w:right w:w="85" w:type="dxa"/>
            </w:tcMar>
          </w:tcPr>
          <w:p>
            <w:pPr>
              <w:spacing w:after="60"/>
            </w:pPr>
            <w:r>
              <w:rPr>
                <w:b w:val="0"/>
                <w:sz w:val="20"/>
              </w:rPr>
              <w:t>3,5 %</w:t>
            </w:r>
          </w:p>
        </w:tc>
        <w:tc>
          <w:tcPr>
            <w:tcW w:type="dxa" w:w="1984"/>
            <w:tcMar>
              <w:top w:w="85" w:type="dxa"/>
              <w:left w:w="85" w:type="dxa"/>
              <w:bottom w:w="85" w:type="dxa"/>
              <w:right w:w="85" w:type="dxa"/>
            </w:tcMar>
          </w:tcPr>
          <w:p>
            <w:pPr>
              <w:spacing w:after="60"/>
            </w:pPr>
            <w:r>
              <w:rPr>
                <w:b w:val="0"/>
                <w:sz w:val="20"/>
              </w:rPr>
              <w:t>15.715,00</w:t>
            </w:r>
          </w:p>
        </w:tc>
      </w:tr>
    </w:tbl>
    <w:p/>
    <w:p>
      <w:r>
        <w:t>Jede Rate wird frühestens vierzehn Kalendertage nach Zugang einer nachvollziehbaren schriftlichen Zahlungsanforderung fällig, sofern sämtliche allgemeinen Fälligkeitsvoraussetzungen und sämtliche in der betreffenden Zeile genannten Bauleistungen erfüllt sind. Bereits vorhandene Voraussetzungen dürfen in einer Anforderung erläutert werden; die Anforderung begründet keine zusätzliche achte Rate. Der Baufortschritt ist anhand des zugeordneten Bautenstandsberichts und auf angemessenen Wunsch durch Besichtigung nachzuweisen. Gesetzliche Zurückbehaltungsrechte bleiben unberührt.</w:t>
      </w:r>
    </w:p>
    <w:p>
      <w:r>
        <w:t>Bei der ersten Abschlagszahlung erhält die Käuferseite eine Sicherheit von fünf Prozent des Kaufpreises, mithin 22.450,00 EUR, für die rechtzeitige Herstellung ohne wesentliche Mängel. Die Verkäuferin verlangt zunächst die Erbringung durch Einbehalt von den Abschlagszahlungen. Deshalb sind bei Vorliegen sämtlicher Voraussetzungen aus der ersten Rate zunächst höchstens 112.250,00 EUR auszuzahlen. Die Verkäuferin kann den Einbehalt durch eine den gesetzlichen Anforderungen entsprechende Garantie oder ein entsprechendes Zahlungsversprechen eines zugelassenen Kreditinstituts oder Kreditversicherers ablösen. Die Sicherung wird erst freigegeben, wenn ihr Sicherungszweck entfallen ist.</w:t>
      </w:r>
    </w:p>
    <w:p>
      <w:r>
        <w:t>Erhöht sich die Vergütung durch Änderungen oder Ergänzungen um mehr als zehn Prozent, ist bei der nächsten Abschlagszahlung eine zusätzliche Sicherheit von fünf Prozent des zusätzlichen Vergütungsanspruchs zu leisten. Die Fertigstellungssicherheit ersetzt weder die Pfandfreistellung noch einen gesetzlichen Einbehalt wegen konkreter Mängel. Eine Bürgschaft nach Paragraf 7 MaBV zur Abweichung vom vereinbarten Ratenplan wird nicht vereinbart.</w:t>
      </w:r>
    </w:p>
    <w:p>
      <w:r>
        <w:t>Die sechste Rate setzt neben den Fliesenarbeiten Bezugsfertigkeit voraus und ist nur Zug um Zug gegen Besitzübergabe zu zahlen. Bezugsfertigkeit verlangt eine gefahrlose, genehmigungskonforme Wohnnutzung, funktionierende Ver- und Entsorgung sowie sichere Zugänge und Rettungswege. Die siebte Rate setzt die vollständige Fertigstellung des vertraglich geschuldeten Objekts sowie die Erledigung der in den Abnahmeprotokollen bezeichneten Restleistungen und Mängel voraus. Allein die Abnahme oder die Nutzbarkeit der Wohnung macht diese Schlussrate nicht fällig.</w:t>
      </w:r>
    </w:p>
    <w:p>
      <w:pPr>
        <w:pStyle w:val="Heading1"/>
      </w:pPr>
      <w:r>
        <w:t>7 Zahlungsweg, Verzug und Erwerberfinanzierung</w:t>
      </w:r>
    </w:p>
    <w:p>
      <w:r>
        <w:t>Zahlungen erfolgen unbar auf die in der notariellen Abwicklung bestätigte, auf die Verkäuferin lautende Bankverbindung oder das danach zulässige Ablösekonto. Eine Bankverbindung wird erst nach Abstimmung mit der Projektbank eingesetzt. Änderungen werden über einen zuvor bekannten Kontaktweg überprüft. Bargeld, Kryptowerte, Gold, Platin und Edelsteine bewirken keine Kaufpreiserfüllung. Die Beteiligten legen dem Notar die gesetzlich erforderlichen Zahlungsnachweise vor.</w:t>
      </w:r>
    </w:p>
    <w:p>
      <w:r>
        <w:t>Kommt die Käuferseite mit einer fälligen und durchsetzbaren Zahlung in Verzug, gelten die gesetzlichen Verzugszinsen und Schadensersatzregeln. Rechte auf Aufrechnung, Zurückbehaltung und gesetzliche Leistungsverweigerung werden nicht durch einen pauschalen Ausschluss verkürzt. Ein Rücktritt der Verkäuferin wegen Zahlungsverzugs setzt die gesetzlichen Voraussetzungen einschließlich einer erforderlichen Nachfrist voraus. Ein bloßer Finanzierungsengpass ohne fällige Forderung ist kein vertraglicher Rücktrittsgrund.</w:t>
      </w:r>
    </w:p>
    <w:p>
      <w:r>
        <w:t>Die Käuferseite beschafft ihre Finanzierung selbst. Die Verkäuferin gestattet eine vorzeitige Belastung ausschließlich des verkauften Wohnungseigentums zur Kaufpreisfinanzierung bei einem in Deutschland zum Geschäftsbetrieb befugten Kreditinstitut, wenn die Grundschuld bis zur Eigentumsumschreibung nur solche Zahlungen sichert, die mit kaufpreistilgender Wirkung geleistet werden. Vorherige Verkäuferbelastungen sind nach der abgestimmten Rang- und Freistellungsregelung zu behandeln. Die Käuferseite übernimmt sämtliche Kosten ihrer Finanzierung und stellt die Verkäuferin von persönlicher Haftung frei; die Verkäuferin übernimmt kein persönliches Schuldversprechen.</w:t>
      </w:r>
    </w:p>
    <w:p>
      <w:r>
        <w:t>Die hierfür nötige Belastungsvollmacht darf nur beim beurkundenden Notar oder dessen amtlicher Vertretung verwendet werden. Die Finanzierungsgläubigerin muss die Sicherungszweckbeschränkung und die Auszahlung nach den Fälligkeitsregeln anerkennen. Bei Scheitern des Erwerbs darf sie eine Löschung nur von der Rückzahlung der mit kaufpreistilgender Wirkung ausgezahlten Beträge abhängig machen. Die dingliche Haftung wird nach Kaufpreiszahlung beziehungsweise Umschreibung von der Käuferseite übernommen; die Vollmacht umfasst keine neue Belastung anderer Einheiten.</w:t>
      </w:r>
    </w:p>
    <w:p>
      <w:pPr>
        <w:pStyle w:val="Heading1"/>
      </w:pPr>
      <w:r>
        <w:t>8 Termine und Mitwirkung</w:t>
      </w:r>
    </w:p>
    <w:p>
      <w:r>
        <w:t>Die Verkäuferin beginnt die Bauarbeiten spätestens am 1. Dezember 2027 und stellt die Wohnung einschließlich ihrer nutzbaren Erschließung spätestens am 15. September 2028 bezugsfertig her. Die vollständige Fertigstellung einschließlich Außenanlagen ist spätestens zum 30. September 2028 geschuldet. Diese Fristen setzen einen spätestens am 30. November 2027 abgeschlossenen Vertrag voraus; bei einem späteren Abschluss sind die Termine vor Beurkundung ausdrücklich neu zu vereinbaren. Eine einseitige Terminverschiebung durch die Verkäuferin ist nicht gestattet.</w:t>
      </w:r>
    </w:p>
    <w:p>
      <w:r>
        <w:t>Vorhersehbare jahreszeitliche Witterung, gewöhnliche Personalengpässe und die übliche Materialbeschaffung sind in diesen Fristen berücksichtigt. Nicht von der Verkäuferin zu vertretende außergewöhnliche Hindernisse werden unverzüglich mit Ursache, betroffenen Arbeiten, Beginn, voraussichtlicher Dauer und Minderungsmaßnahmen mitgeteilt. Eine Terminfolge setzt eine tatsächlich ursächliche Behinderung voraus; ihr Umfang richtet sich nach Gesetz und einer konkret getroffenen Vereinbarung, nicht nach einer pauschalen Fristverlängerung.</w:t>
      </w:r>
    </w:p>
    <w:p>
      <w:r>
        <w:t>Bemusterungen erfolgen nach der beigefügten Auswahl- und Terminordnung. Die Verkäuferin kündigt die erforderliche Auswahl mit angemessener Frist an und benennt die vereinbarte Basisausstattung. Wenn die Käuferseite trotz Erinnerung und angemessener Nachfrist keine abweichende Auswahl trifft, wird die bereits in der Baubeschreibung festgelegte Basis ausgeführt. Damit werden weder ein kostenpflichtiger Sonderwunsch fingiert noch gesetzliche Ansprüche wegen fehlerhafter oder unklarer Bemusterungsaufforderung ausgeschlossen.</w:t>
      </w:r>
    </w:p>
    <w:p>
      <w:pPr>
        <w:pStyle w:val="Heading1"/>
      </w:pPr>
      <w:r>
        <w:t>9 Sonderwünsche und Änderungen</w:t>
      </w:r>
    </w:p>
    <w:p>
      <w:r>
        <w:t>Die Verkäuferin ist ohne gesonderte Einigung nicht verpflichtet, Sonderwünsche auszuführen. Ein Sonderwunsch wird erst verbindlich, wenn Leistung, Vergütungsänderung einschließlich ersparter Grundleistung, Auswirkungen auf die Termine und gegebenenfalls erforderliche Genehmigungen vor Ausführung vereinbart sind. Die Beteiligten beachten die gesetzlich erforderliche Form; eine einfache Nachricht ersetzt eine notwendige notarielle Beurkundung nicht. Direktaufträge der Käuferseite an am Bau beteiligte Firmen dürfen den Leistungssoll der Verkäuferin nicht ohne klare Schnittstellenvereinbarung verändern.</w:t>
      </w:r>
    </w:p>
    <w:p>
      <w:r>
        <w:t>Eine Änderung der vereinbarten Bauausführung ohne gesonderten Änderungsvertrag ist nur zulässig, wenn nach Vertragsschluss eine konkret benannte zwingende behördliche Anforderung entsteht, eine zuvor bei fachgerechter Prüfung nicht erkennbare technische Unvereinbarkeit beseitigt werden muss oder ein bestimmt vereinbartes Produkt trotz rechtzeitiger zumutbarer Beschaffung nachweisbar dauerhaft entfällt. Die Änderung muss erforderlich und der Käuferseite bei Abwägung beider Interessen zumutbar sein; Gebrauchstauglichkeit, vereinbarter Standard, Wert und wesentliches Erscheinungsbild dürfen nicht vermindert werden. Reine Kostenersparnis und gewöhnliche Lieferverspätung genügen nicht.</w:t>
      </w:r>
    </w:p>
    <w:p>
      <w:r>
        <w:t>Vor Durchführung einer solchen Änderung teilt die Verkäuferin den belegten Grund, das Ersatzprodukt oder Detail und die Auswirkungen auf Gebrauch, Gestaltung, Wartung und Kosten mit. Der Kaufpreis erhöht sich dadurch nicht. Die Wohnungsabgrenzung, die zugesagte Wohnfläche, die Barrierefreiheit, der Schallschutz und der zugeordnete Stellplatz dürfen nicht einseitig verschlechtert werden. Für nicht von diesem eng begrenzten Vorbehalt erfasste Abweichungen ist eine ausdrückliche Einigung in der erforderlichen Form notwendig.</w:t>
      </w:r>
    </w:p>
    <w:p>
      <w:r>
        <w:t>Eine Änderung der Teilungserklärung kann nur verlangt werden, soweit sie konkret der Erfüllung einer nach Vertragsschluss entstandenen behördlichen Auflage oder der Beseitigung eines nachträglich erkannten zeichnerischen Zuordnungsfehlers dient und das Sondereigentum, Sondernutzungsrechte, Stimmgewicht, Kostenanteile und der vertragsgemäße Gebrauch der Käuferseite nicht beeinträchtigt werden. Die Verkäuferin legt den vollständigen Änderungstext und die Begründung zur Prüfung vor. Eine allgemeine Vollmacht zur wirtschaftlichen Umgestaltung oder eine Zustimmung zu beliebigen Nachträgen wird nicht erteilt. Zusätzliche Wohnungen, Gewerbenutzungen und die Umwandlung des Wartungsdachs in eine Dachterrasse sind nicht umfasst.</w:t>
      </w:r>
    </w:p>
    <w:p>
      <w:pPr>
        <w:pStyle w:val="Heading1"/>
      </w:pPr>
      <w:r>
        <w:t>10 Baustellenzutritt und Dokumentation</w:t>
      </w:r>
    </w:p>
    <w:p>
      <w:r>
        <w:t>Die Verkäuferin ermöglicht nach angemessener Voranmeldung begleitete Besichtigungen des Kaufobjekts und die Vorbereitung der Abnahme mit einer sachkundigen Vertrauensperson. Sie darf den Zutritt aus konkreten Gründen der Arbeitssicherheit zeitlich koordinieren und einen zeitnahen Ersatztermin anbieten. Ein pauschales Zutrittsverbot oder ein Verbot sachverständiger Begleitung wird nicht vereinbart. Weisungen an Unternehmer erfolgen über die Bauleitung, damit die technische Verantwortung und der Bauablauf eindeutig bleiben.</w:t>
      </w:r>
    </w:p>
    <w:p>
      <w:r>
        <w:t>Die Verkäuferin übergibt spätestens mit der vollständigen Fertigstellung die für Betrieb und Instandhaltung erforderlichen Bestandsunterlagen, Bedienungs- und Wartungsanleitungen, Prüf- und Inbetriebnahmeberichte, wohnungsbezogene Zählerzuordnung und den Gebäudeenergieausweis nach den gesetzlichen Vorgaben. Gemeinschaftliche Unterlagen erhält zusätzlich die Verwaltung für die GdWE. Ein Bautagebuchauszug oder eine Fachunternehmerbescheinigung ersetzt nicht fehlende vertraglich geschuldete Pläne oder technische Nachweise.</w:t>
      </w:r>
    </w:p>
    <w:p>
      <w:pPr>
        <w:pStyle w:val="Heading1"/>
      </w:pPr>
      <w:r>
        <w:t>11 Abnahme von Sonder- und Gemeinschaftseigentum</w:t>
      </w:r>
    </w:p>
    <w:p>
      <w:r>
        <w:t>Die Abnahme erfolgt nach Herstellung der Abnahmereife in einer gemeinsamen Besichtigung mit Niederschrift. Die Verkäuferin lädt mit mindestens vierzehn Kalendertagen Vorlauf ein und bezeichnet den Gegenstand sowie die verfügbaren Unterlagen. Die Käuferseite darf eine sachkundige Person ihrer Wahl hinzuziehen. Die Kosten einer von der Verkäuferin eingesetzten Abnahmeorganisation trägt diese; eine von der Käuferseite selbst beauftragte zusätzliche Begutachtung richtet sich nach deren gesondertem Auftrag und etwaigen gesetzlichen Ersatzansprüchen.</w:t>
      </w:r>
    </w:p>
    <w:p>
      <w:r>
        <w:t>Die Käuferseite erklärt die Abnahme des Sondereigentums und des auf ihren Erwerbsvertrag bezogenen Gemeinschaftseigentums selbst. Eine gemeinsame Begehung mehrerer Erwerber ersetzt die einzelne Erklärung nicht. Der Verwalter, ein von der Verkäuferin beauftragter Sachverständiger, eine Erwerbermehrheit und drei ausgewählte Erwerber erhalten durch diesen Vertrag keine Abnahmevollmacht. Eine später frei erteilte, inhaltlich bestimmte Vollmacht an eine Vertrauensperson bleibt möglich. Ein früheres Abnahmeprotokoll anderer Erwerber bindet diese Käuferseite nicht.</w:t>
      </w:r>
    </w:p>
    <w:p>
      <w:r>
        <w:t>Das Protokoll hält die untersuchten Bereiche, festgestellte Mängel, noch ausstehende Leistungen, die konkrete Abnahmeerklärung oder ihre begründete Verweigerung und ausdrücklich erklärte Vorbehalte fest. Eine Abnahme darf wegen unwesentlicher Mängel nicht verweigert werden. Rechte wegen bekannter Mängel werden bei Abnahme nach Maßgabe des Gesetzes vorbehalten. Besitzübergabe, Zahlung, Schweigen oder Einzug gelten nicht aufgrund dieses Vertrags als Abnahme. Die gesetzliche Regelung des Paragrafen 640 Absatz 2 BGB bleibt mit sämtlichen Voraussetzungen, insbesondere dem erforderlichen Verbraucherhinweis, unberührt.</w:t>
      </w:r>
    </w:p>
    <w:p>
      <w:pPr>
        <w:pStyle w:val="Heading1"/>
      </w:pPr>
      <w:r>
        <w:t>12 Besitz, Nutzen, Lasten und Gefahr</w:t>
      </w:r>
    </w:p>
    <w:p>
      <w:r>
        <w:t>Die Verkäuferin übergibt die bezugsfertige Wohnung geräumt, besenrein und frei von Miet- oder sonstigen Nutzungsrechten, sobald die bis dahin fälligen und durchsetzbaren Kaufpreisraten erfüllt sind; die sechste Rate ist Zug um Zug gegen Übergabe zu leisten. Ein berechtigter Mängeleinbehalt verhindert die Übergabe nicht allein deshalb, weil dadurch noch ein Betrag offensteht. Schlüssel, Zählerstände und Dokumente werden im Übergabeprotokoll erfasst. Die Übergabe ist von der Abnahmeerklärung und der Eigentumseintragung zu unterscheiden.</w:t>
      </w:r>
    </w:p>
    <w:p>
      <w:r>
        <w:t>Mit Besitzübergabe gehen Nutzungen, laufende öffentliche und private Lasten sowie die tatsächliche Verkehrssicherung für den übergebenen Bereich auf die Käuferseite über. Die gesetzlichen Regeln zur Gefahrtragung und zu von der Verkäuferin zu vertretenden Schäden bleiben unberührt. Gemeinschaftliche Versicherungs-, Betriebs- und Verwaltungskosten werden ab diesem Zeitpunkt nach der wirksamen Gemeinschaftsordnung und den gesetzlichen Vorschriften abgerechnet. Die Verkäuferin trägt die auf noch nicht übergebene Einheiten entfallenden Kosten selbst.</w:t>
      </w:r>
    </w:p>
    <w:p>
      <w:r>
        <w:t>Eine Vermietung durch die Verkäuferin vor der vertraglich geschuldeten lastenfreien Übergabe ist ausgeschlossen. Beabsichtigt die Käuferseite eine Vermietung, schließt sie eigene Mietverträge und kalkuliert die daraus folgenden Pflichten selbst. Mietgarantie, Vermietungsauftrag und garantierte Erträge sind nicht vereinbart. Soll das Hauptprojekt bereits vermietet worden sein, ist diese unvermietete Verkaufsoption vor Vertragsschluss vollständig an den tatsächlichen Bestand anzupassen.</w:t>
      </w:r>
    </w:p>
    <w:p>
      <w:pPr>
        <w:pStyle w:val="Heading1"/>
      </w:pPr>
      <w:r>
        <w:t>13 Mängelrechte und Nacherfüllung</w:t>
      </w:r>
    </w:p>
    <w:p>
      <w:r>
        <w:t>Für die Bauleistung gelten die gesetzlichen Mängelrechte. Die Verjährung bei Bauwerksmängeln beträgt im gesetzlichen Grundfall fünf Jahre ab wirksamer Abnahme des jeweils betroffenen Leistungsgegenstands. Unterschiedliche Abnahmezeitpunkte von Sonder- und Gemeinschaftseigentum sind getrennt festzuhalten. Arglist, übernommene Garantien, Hemmung, Neubeginn und sonstige gesetzliche Sonderregeln bleiben unberührt. Ein vertraglicher Ausschluss neuer Bauwerksmängel oder eine Bindung an das Verjährungsende anderer Erwerber wird nicht vereinbart.</w:t>
      </w:r>
    </w:p>
    <w:p>
      <w:r>
        <w:t>Die Käuferseite soll Mängel mit Ort, Erscheinung, Feststellungszeitpunkt und gegebenenfalls vorhandenen Bildern anzeigen und der Verkäuferin Gelegenheit zur Prüfung und gesetzlich geschuldeten Nacherfüllung geben. Ein bestimmtes Portal oder eine besondere Form ist keine Ausschlussvoraussetzung. Die Verkäuferin stimmt notwendige Besichtigung und Arbeiten rechtzeitig ab. Bei Gefahr im Verzug und in den übrigen gesetzlich geregelten Fällen bleiben Sofortmaßnahmen, Selbstvornahme und Kostenerstattung möglich.</w:t>
      </w:r>
    </w:p>
    <w:p>
      <w:r>
        <w:t>Die Verkäuferin darf die ordnungsgemäße Art der Nacherfüllung im gesetzlichen Rahmen wählen. Sie schuldet keinen vollständigen Austausch mangelfreier Bauteile, wenn eine fachgerechte gleichwertige Mangelbeseitigung den vertraglichen Zustand herstellt und die gesetzlichen Voraussetzungen erfüllt. Verschleiß, fehlende vereinbarte Wartung und nachträgliche Eingriffe sind ursachenbezogen zu prüfen; sie führen nicht automatisch zum Verlust sämtlicher Gewährleistungsrechte. Die Abtretung von Ansprüchen gegen Nachunternehmer ersetzt die Haftung der Verkäuferin nicht.</w:t>
      </w:r>
    </w:p>
    <w:p>
      <w:r>
        <w:t>Soweit gesetzlich zulässig, kann die GdWE gleichgerichtete Ansprüche wegen Mängeln am Gemeinschaftseigentum durch Beschluss zur gemeinschaftlichen Verfolgung übernehmen. Dieser Vertrag schließt solche Beschlüsse nicht aus und begründet keine zwingende Abtretung aller Ansprüche. Eine doppelte Befriedigung desselben Mangelbeseitigungsinteresses kann nicht verlangt werden. Die Anzeige und Bearbeitung gemeinschaftlicher Mängel ist mit der Verwaltung zu koordinieren, ohne eine eigenständige Ausschlussfrist zu schaffen.</w:t>
      </w:r>
    </w:p>
    <w:p>
      <w:pPr>
        <w:pStyle w:val="Heading1"/>
      </w:pPr>
      <w:r>
        <w:t>14 Auflassung, Vormerkung und Vollzug</w:t>
      </w:r>
    </w:p>
    <w:p>
      <w:r>
        <w:t>Die Beteiligten sind darüber einig, dass das in Ziffer 2 bezeichnete Wohnungseigentum auf Georg Schmidt und Margarete Schmidt zu je einem hälftigen Anteil übergehen soll. Die Auflassung wird in der endgültigen Urkunde unbedingt erklärt. Die Verkäuferin bewilligt und die Käuferseite beantragt die Eintragung einer Vormerkung zur Sicherung des Anspruchs auf Eigentumsübertragung an der vereinbarten Rangstelle. Ihre endgültige Bezeichnung wird an die wirksam angelegten Wohnungsgrundbücher angepasst; eine nicht existente Blattnummer wird im Entwurf nicht als Registertatsache ausgegeben.</w:t>
      </w:r>
    </w:p>
    <w:p>
      <w:r>
        <w:t>Der Notar soll die Umschreibung beantragen, sobald die vertraglich geschuldete Gegenleistung bezahlt oder ein verbleibender Streitbetrag durch übereinstimmende notarielle Abwicklungsanweisung oder gerichtliche Entscheidung geklärt ist, die erforderliche steuerliche Unbedenklichkeitsbescheinigung vorliegt und die gesetzlichen Zahlungsnachweispflichten erfüllt sind. Die gesetzlichen Ansprüche auf Eigentumsübertragung und deren gerichtliche Durchsetzung werden dadurch nicht ausgeschlossen. Bis dahin gibt der Notar keine Ausfertigung mit ungesicherter Vollzugsmöglichkeit heraus.</w:t>
      </w:r>
    </w:p>
    <w:p>
      <w:r>
        <w:t>Die Käuferseite bewilligt die Löschung der Vormerkung bei ihrer Eigentumseintragung, sofern keine beeinträchtigenden Zwischenrechte ohne ihre Zustimmung bestehen bleiben. Für den Fall des Scheiterns des Vertrags wird keine automatische Löschungsvollmacht allein auf einseitige Behauptung der Verkäuferin erteilt. Rückabwicklung, Rückzahlung empfangener Beträge und Löschung sind dann gesondert rechtlich und notariell zu sichern.</w:t>
      </w:r>
    </w:p>
    <w:p>
      <w:pPr>
        <w:pStyle w:val="Heading1"/>
      </w:pPr>
      <w:r>
        <w:t>15 Vollzugsvollmacht und Gemeinschaftsordnung</w:t>
      </w:r>
    </w:p>
    <w:p>
      <w:r>
        <w:t>Die Beteiligten bevollmächtigen den beurkundenden Notar und seine amtliche Vertretung, Anträge zum vertragsgemäßen Grundbuchvollzug getrennt oder beschränkt zu stellen und offensichtliche Schreibfehler oder grundbuchliche Bezeichnungsfehler zu berichtigen. Änderungen des wirtschaftlichen Vertragsinhalts, des Kaufpreises, der Fläche, des Leistungsumfangs und der zugeordneten Rechte sind nicht umfasst. Die Vollmacht berechtigt nicht zur Abnahme, zu Mängelverzichten, Vergleichen oder der Unterwerfung unter die Zwangsvollstreckung.</w:t>
      </w:r>
    </w:p>
    <w:p>
      <w:r>
        <w:t>Die Käuferseite tritt mit dem gesetzlich maßgeblichen Zeitpunkt in die GdWE ein. Inhalt und Reichweite der Gemeinschaftsordnung ergeben sich aus dem beurkundeten Teilungstext. Die Verwaltung kann organisatorische Aufgaben übernehmen, aber keine vertragliche Abnahme für die Käuferseite erklären. Eine Erstverwalterbestellung ist in dieser Urkunde nicht enthalten; sie bedarf einer gesonderten wirksamen Entscheidung. Die Verkäuferin erhält weder ein dauerhaftes Mehrstimmrecht noch eine Befreiung von Kosten für ihre unverkauften Einheiten.</w:t>
      </w:r>
    </w:p>
    <w:p>
      <w:pPr>
        <w:pStyle w:val="Heading1"/>
      </w:pPr>
      <w:r>
        <w:t>16 Kosten, Belehrungen und Schlussbestimmungen</w:t>
      </w:r>
    </w:p>
    <w:p>
      <w:r>
        <w:t>Die Käuferseite trägt die Kosten dieses Erwerbsvertrags und seines üblichen Vollzugs, der eigenen Vormerkung und Eigentumsumschreibung sowie die Grunderwerbsteuer. Die Verkäuferin trägt die Kosten der Teilung, der Abgeschlossenheitsunterlagen und der Freistellung von ihren nicht übernommenen Belastungen. Jede Seite trägt die Kosten ihrer eigenen Beratung. Die gesetzliche Außenhaftung für Steuern und Gebühren bleibt unberührt. Eine selbstständige Maklerprovisionszusage wird in diesem Vertrag nicht begründet.</w:t>
      </w:r>
    </w:p>
    <w:p>
      <w:r>
        <w:t>Der Notar wird über Formbedürftigkeit, Vormerkung, Eigentumserwerb durch Eintragung, MaBV-Sicherungen, Gemeinschaftseigentum, Zahlungsnachweise und wirtschaftliche Grenzen seiner Prüfung belehren. Nebenabreden über Kaufpreis, Bauleistung oder Sonderwünsche sind vollständig offenzulegen und in der erforderlichen Form aufzunehmen. Eine tatsächliche Individualabrede wird nicht durch eine pauschale Vollständigkeitsklausel verdrängt. Die Unwirksamkeit einer einzelnen Regel richtet sich nach den gesetzlichen Vorschriften; eine automatische Ersetzung durch die verkäuferfreundlichste ähnliche Klausel wird nicht vereinbart.</w:t>
      </w:r>
    </w:p>
    <w:p>
      <w:pPr>
        <w:pStyle w:val="Heading1"/>
      </w:pPr>
      <w:r>
        <w:t>17 Anlagen und vorgesehener Urkundsabschluss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7087"/>
      </w:tblGrid>
      <w:tr>
        <w:trPr>
          <w:cantSplit/>
          <w:tblHeader/>
        </w:trPr>
        <w:tc>
          <w:tcPr>
            <w:tcW w:type="dxa" w:w="850"/>
            <w:tcMar>
              <w:top w:w="85" w:type="dxa"/>
              <w:left w:w="85" w:type="dxa"/>
              <w:bottom w:w="85" w:type="dxa"/>
              <w:right w:w="85" w:type="dxa"/>
            </w:tcMar>
            <w:shd w:fill="E8EDF0"/>
          </w:tcPr>
          <w:p>
            <w:pPr>
              <w:spacing w:after="60"/>
            </w:pPr>
            <w:r>
              <w:rPr>
                <w:b/>
                <w:sz w:val="20"/>
              </w:rPr>
              <w:t>Anlage</w:t>
            </w:r>
          </w:p>
        </w:tc>
        <w:tc>
          <w:tcPr>
            <w:tcW w:type="dxa" w:w="7087"/>
            <w:tcMar>
              <w:top w:w="85" w:type="dxa"/>
              <w:left w:w="85" w:type="dxa"/>
              <w:bottom w:w="85" w:type="dxa"/>
              <w:right w:w="85" w:type="dxa"/>
            </w:tcMar>
            <w:shd w:fill="E8EDF0"/>
          </w:tcPr>
          <w:p>
            <w:pPr>
              <w:spacing w:after="60"/>
            </w:pPr>
            <w:r>
              <w:rPr>
                <w:b/>
                <w:sz w:val="20"/>
              </w:rPr>
              <w:t>Gegenstand</w:t>
            </w:r>
          </w:p>
        </w:tc>
      </w:tr>
      <w:tr>
        <w:trPr>
          <w:cantSplit/>
        </w:trPr>
        <w:tc>
          <w:tcPr>
            <w:tcW w:type="dxa" w:w="850"/>
            <w:tcMar>
              <w:top w:w="85" w:type="dxa"/>
              <w:left w:w="85" w:type="dxa"/>
              <w:bottom w:w="85" w:type="dxa"/>
              <w:right w:w="85" w:type="dxa"/>
            </w:tcMar>
          </w:tcPr>
          <w:p>
            <w:pPr>
              <w:spacing w:after="60"/>
            </w:pPr>
            <w:r>
              <w:rPr>
                <w:b w:val="0"/>
                <w:sz w:val="20"/>
              </w:rPr>
              <w:t>1</w:t>
            </w:r>
          </w:p>
        </w:tc>
        <w:tc>
          <w:tcPr>
            <w:tcW w:type="dxa" w:w="7087"/>
            <w:tcMar>
              <w:top w:w="85" w:type="dxa"/>
              <w:left w:w="85" w:type="dxa"/>
              <w:bottom w:w="85" w:type="dxa"/>
              <w:right w:w="85" w:type="dxa"/>
            </w:tcMar>
          </w:tcPr>
          <w:p>
            <w:pPr>
              <w:spacing w:after="60"/>
            </w:pPr>
            <w:r>
              <w:rPr>
                <w:b w:val="0"/>
                <w:sz w:val="20"/>
              </w:rPr>
              <w:t>Teilungserklärung und Gemeinschaftsordnung TE-OPTION-01</w:t>
            </w:r>
          </w:p>
        </w:tc>
      </w:tr>
      <w:tr>
        <w:trPr>
          <w:cantSplit/>
        </w:trPr>
        <w:tc>
          <w:tcPr>
            <w:tcW w:type="dxa" w:w="850"/>
            <w:tcMar>
              <w:top w:w="85" w:type="dxa"/>
              <w:left w:w="85" w:type="dxa"/>
              <w:bottom w:w="85" w:type="dxa"/>
              <w:right w:w="85" w:type="dxa"/>
            </w:tcMar>
          </w:tcPr>
          <w:p>
            <w:pPr>
              <w:spacing w:after="60"/>
            </w:pPr>
            <w:r>
              <w:rPr>
                <w:b w:val="0"/>
                <w:sz w:val="20"/>
              </w:rPr>
              <w:t>2</w:t>
            </w:r>
          </w:p>
        </w:tc>
        <w:tc>
          <w:tcPr>
            <w:tcW w:type="dxa" w:w="7087"/>
            <w:tcMar>
              <w:top w:w="85" w:type="dxa"/>
              <w:left w:w="85" w:type="dxa"/>
              <w:bottom w:w="85" w:type="dxa"/>
              <w:right w:w="85" w:type="dxa"/>
            </w:tcMar>
          </w:tcPr>
          <w:p>
            <w:pPr>
              <w:spacing w:after="60"/>
            </w:pPr>
            <w:r>
              <w:rPr>
                <w:b w:val="0"/>
                <w:sz w:val="20"/>
              </w:rPr>
              <w:t>Baubeschreibung BT-BB-01 mit Planverzeichnis</w:t>
            </w:r>
          </w:p>
        </w:tc>
      </w:tr>
      <w:tr>
        <w:trPr>
          <w:cantSplit/>
        </w:trPr>
        <w:tc>
          <w:tcPr>
            <w:tcW w:type="dxa" w:w="850"/>
            <w:tcMar>
              <w:top w:w="85" w:type="dxa"/>
              <w:left w:w="85" w:type="dxa"/>
              <w:bottom w:w="85" w:type="dxa"/>
              <w:right w:w="85" w:type="dxa"/>
            </w:tcMar>
          </w:tcPr>
          <w:p>
            <w:pPr>
              <w:spacing w:after="60"/>
            </w:pPr>
            <w:r>
              <w:rPr>
                <w:b w:val="0"/>
                <w:sz w:val="20"/>
              </w:rPr>
              <w:t>3</w:t>
            </w:r>
          </w:p>
        </w:tc>
        <w:tc>
          <w:tcPr>
            <w:tcW w:type="dxa" w:w="7087"/>
            <w:tcMar>
              <w:top w:w="85" w:type="dxa"/>
              <w:left w:w="85" w:type="dxa"/>
              <w:bottom w:w="85" w:type="dxa"/>
              <w:right w:w="85" w:type="dxa"/>
            </w:tcMar>
          </w:tcPr>
          <w:p>
            <w:pPr>
              <w:spacing w:after="60"/>
            </w:pPr>
            <w:r>
              <w:rPr>
                <w:b w:val="0"/>
                <w:sz w:val="20"/>
              </w:rPr>
              <w:t>Raum- und Zuordnungsliste WE02</w:t>
            </w:r>
          </w:p>
        </w:tc>
      </w:tr>
      <w:tr>
        <w:trPr>
          <w:cantSplit/>
        </w:trPr>
        <w:tc>
          <w:tcPr>
            <w:tcW w:type="dxa" w:w="850"/>
            <w:tcMar>
              <w:top w:w="85" w:type="dxa"/>
              <w:left w:w="85" w:type="dxa"/>
              <w:bottom w:w="85" w:type="dxa"/>
              <w:right w:w="85" w:type="dxa"/>
            </w:tcMar>
          </w:tcPr>
          <w:p>
            <w:pPr>
              <w:spacing w:after="60"/>
            </w:pPr>
            <w:r>
              <w:rPr>
                <w:b w:val="0"/>
                <w:sz w:val="20"/>
              </w:rPr>
              <w:t>4</w:t>
            </w:r>
          </w:p>
        </w:tc>
        <w:tc>
          <w:tcPr>
            <w:tcW w:type="dxa" w:w="7087"/>
            <w:tcMar>
              <w:top w:w="85" w:type="dxa"/>
              <w:left w:w="85" w:type="dxa"/>
              <w:bottom w:w="85" w:type="dxa"/>
              <w:right w:w="85" w:type="dxa"/>
            </w:tcMar>
          </w:tcPr>
          <w:p>
            <w:pPr>
              <w:spacing w:after="60"/>
            </w:pPr>
            <w:r>
              <w:rPr>
                <w:b w:val="0"/>
                <w:sz w:val="20"/>
              </w:rPr>
              <w:t>Wohnungsbezogener Ratenplan WE02</w:t>
            </w:r>
          </w:p>
        </w:tc>
      </w:tr>
      <w:tr>
        <w:trPr>
          <w:cantSplit/>
        </w:trPr>
        <w:tc>
          <w:tcPr>
            <w:tcW w:type="dxa" w:w="850"/>
            <w:tcMar>
              <w:top w:w="85" w:type="dxa"/>
              <w:left w:w="85" w:type="dxa"/>
              <w:bottom w:w="85" w:type="dxa"/>
              <w:right w:w="85" w:type="dxa"/>
            </w:tcMar>
          </w:tcPr>
          <w:p>
            <w:pPr>
              <w:spacing w:after="60"/>
            </w:pPr>
            <w:r>
              <w:rPr>
                <w:b w:val="0"/>
                <w:sz w:val="20"/>
              </w:rPr>
              <w:t>5</w:t>
            </w:r>
          </w:p>
        </w:tc>
        <w:tc>
          <w:tcPr>
            <w:tcW w:type="dxa" w:w="7087"/>
            <w:tcMar>
              <w:top w:w="85" w:type="dxa"/>
              <w:left w:w="85" w:type="dxa"/>
              <w:bottom w:w="85" w:type="dxa"/>
              <w:right w:w="85" w:type="dxa"/>
            </w:tcMar>
          </w:tcPr>
          <w:p>
            <w:pPr>
              <w:spacing w:after="60"/>
            </w:pPr>
            <w:r>
              <w:rPr>
                <w:b w:val="0"/>
                <w:sz w:val="20"/>
              </w:rPr>
              <w:t>Bemusterungs- und Sonderwunschordnung BT-BM-01</w:t>
            </w:r>
          </w:p>
        </w:tc>
      </w:tr>
    </w:tbl>
    <w:p/>
    <w:p>
      <w:r>
        <w:t>Der Schlussvermerk über vollständiges Vorlesen, Vorlage der Pläne, Genehmigung und eigenhändige Unterzeichnung wird erst nach tatsächlichem Ablauf der Beurkundungsverhandlung ausgefüllt. Diese Entwurfsfassung ist weder eine Urschrift noch eine beglaubigte Abschrift und enthält keine Unterschrift oder Siegelnachbildung.</w:t>
      </w:r>
    </w:p>
    <w:p>
      <w:r>
        <w:t>Unterschriftszeile Verkäuferin: __________________________________</w:t>
      </w:r>
    </w:p>
    <w:p>
      <w:r>
        <w:t>Unterschriftszeile Käuferseite: __________________________________</w:t>
      </w:r>
    </w:p>
    <w:p>
      <w:r>
        <w:t>Unterschriftszeile Notar: ________________________________________</w:t>
      </w:r>
    </w:p>
    <w:sectPr w:rsidR="00FC693F" w:rsidRPr="0006063C" w:rsidSect="00034616">
      <w:headerReference w:type="default" r:id="rId9"/>
      <w:footerReference w:type="default" r:id="rId10"/>
      <w:pgSz w:w="11906" w:h="16838"/>
      <w:pgMar w:top="1020" w:right="1417"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Notar Dr. Johann Bauer · Hildesheim · Entwurfsfassung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Bauträgerkaufvertrag · Wohnung 02</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