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Bauträgerkaufvertrag · Wohnung 04</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Hans Becker, geboren am 24.01.1965, wohnhaft Ulmenbogen 22, 31134 Hildesheim, als Käuferseite. Die aktuelle Registerbezeichnung und die Vertretungsbefugnis der Verkäuferin sowie die Personalien werden anhand aktueller Unterlagen im Beurkundungsverfahren festgestellt.</w:t>
      </w:r>
    </w:p>
    <w:p>
      <w:r>
        <w:t>Die Käuferseite erwirbt für Eigennutzung.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Der Käufer erwirbt zu Alleineigentum. Für den Entwurf ist angegeben, dass er unverheiratet ist; der Familienstand und etwaige Verfügungsbeschränkungen sind vor Beurkundung festzustellen.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68/600 an diesem Grundstück, verbunden mit dem Sondereigentum an der Wohnung Nummer 04 im ersten Obergeschoss, westlicher Gebäudeteil, und dem dieser Wohnung zugeordneten Sondernutzungsrecht am Pkw-Stellplatz Nummer 04.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68,00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419.000,00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125.700,00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117.320,00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52.794,00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26.397,00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35.196,00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46.928,00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14.665,00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20.950,00 EUR, für die rechtzeitige Herstellung ohne wesentliche Mängel. Die Verkäuferin verlangt zunächst die Erbringung durch Einbehalt von den Abschlagszahlungen. Deshalb sind bei Vorliegen sämtlicher Voraussetzungen aus der ersten Rate zunächst höchstens 104.750,00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Hans Becker zu Alleineigentum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WE04</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WE04</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Bauträgerkaufvertrag · Wohnung 04</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