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05</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Karl Hoffmann, geboren am 03.05.1960, und Hildegard Hoffmann, geboren am 26.08.1962, wohnhaft Eschensteg 8, 31135 Hildesheim, als Käuferseite. Die aktuelle Registerbezeichnung und die Vertretungsbefugnis der Verkäuferin sowie die Personalien werden anhand aktueller Unterlagen im Beurkundungsverfahren festgestellt.</w:t>
      </w:r>
    </w:p>
    <w:p>
      <w:r>
        <w:t>Die Käuferseite erwirbt für private Vermietung nach Übergabe.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75/600 an diesem Grundstück, verbunden mit dem Sondereigentum an der Wohnung Nummer 05 im ersten Obergeschoss, mittlerer Gebäudeteil, und dem dieser Wohnung zugeordneten Sondernutzungsrecht am Pkw-Stellplatz Nummer 05.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75,00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459.000,00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137.700,00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128.520,00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57.834,00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28.917,00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38.556,00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51.408,00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16.065,00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22.950,00 EUR, für die rechtzeitige Herstellung ohne wesentliche Mängel. Die Verkäuferin verlangt zunächst die Erbringung durch Einbehalt von den Abschlagszahlungen. Deshalb sind bei Vorliegen sämtlicher Voraussetzungen aus der ersten Rate zunächst höchstens 114.750,00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Karl Hoffmann und Hildegard Hoffmann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WE05</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WE05</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05</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