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Teilungserklärung und Gemeinschaftsordnung · TE-OPTION-01</w:t>
      </w:r>
    </w:p>
    <w:p>
      <w:r>
        <w:t>Stand 1. November 2027 · Option Einzelverkauf · Entwurf zur Abstimmung</w:t>
      </w:r>
    </w:p>
    <w:p>
      <w:r>
        <w:t>Dieser Text ist die vorgesehene Bezugsurkunde für einen noch nicht beschlossenen Einzelverkauf. Es wird keine bereits erklärte Teilung, eingetragene Gemeinschaftsordnung oder behördliche Abgeschlossenheitsbescheinigung bestätigt. Urkundenverzeichnis und Beurkundungstag werden erst bei Durchführung des gesonderten Verfahrens vergeben.</w:t>
      </w:r>
    </w:p>
    <w:p>
      <w:pPr>
        <w:pStyle w:val="Heading1"/>
      </w:pPr>
      <w:r>
        <w:t>1 Teilende Eigentümerin und Grundbuch</w:t>
      </w:r>
    </w:p>
    <w:p>
      <w:r>
        <w:t>Die Steinbogen Wohnen GmbH, vertreten durch Maren Birk als Geschäftsführerin, erklärt gegenüber dem Grundbuchamt die nachstehende Aufteilung des Grundstücks Grundbuch von Hildesheim Blatt 88018, Gemarkung Hildesheim, Flur 88, Flurstück 18/6, Gebäude- und Freifläche Wohnhof Am Steinbogen 18, Größe 1.300 m². Die aktuelle Eintragung der Eigentümerin und die vorhandenen Belastungen sind vor Beurkundung durch den Notar festzustellen. Die Projektgrundschuld der Leinebogen Projektbank AG über 1.600.000,00 EUR wird durch die Aufteilung nicht gelöscht. Für Einzelverkäufe sind gesonderte Freistellungserklärungen erforderlich.</w:t>
      </w:r>
    </w:p>
    <w:p>
      <w:pPr>
        <w:pStyle w:val="Heading1"/>
      </w:pPr>
      <w:r>
        <w:t>2 Bildung der acht Wohnungseigentumsrechte</w:t>
      </w:r>
    </w:p>
    <w:p>
      <w:r>
        <w:t>Die Eigentümerin teilt das Grundstück gemäß Paragraf 8 WEG in die nachstehenden Miteigentumsanteile auf. Mit jedem Anteil wird Sondereigentum an den im endgültigen Aufteilungsplan mit derselben Nummer gekennzeichneten Wohnungsräumen verbunden. Die Bruchteile sind bewusst auf den Nenner 600 bezogen und ergeben zusammen 600/600. Eine ungenaue Rundung auf Tausendstel erfolgt nicht.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24"/>
        <w:gridCol w:w="2438"/>
        <w:gridCol w:w="1587"/>
        <w:gridCol w:w="1587"/>
        <w:gridCol w:w="1701"/>
      </w:tblGrid>
      <w:tr>
        <w:trPr>
          <w:cantSplit/>
          <w:tblHeader/>
        </w:trPr>
        <w:tc>
          <w:tcPr>
            <w:tcW w:type="dxa" w:w="624"/>
            <w:tcMar>
              <w:top w:w="85" w:type="dxa"/>
              <w:left w:w="85" w:type="dxa"/>
              <w:bottom w:w="85" w:type="dxa"/>
              <w:right w:w="85" w:type="dxa"/>
            </w:tcMar>
            <w:shd w:fill="E8EDF0"/>
          </w:tcPr>
          <w:p>
            <w:pPr>
              <w:spacing w:after="60"/>
            </w:pPr>
            <w:r>
              <w:rPr>
                <w:b/>
                <w:sz w:val="20"/>
              </w:rPr>
              <w:t>WE</w:t>
            </w:r>
          </w:p>
        </w:tc>
        <w:tc>
          <w:tcPr>
            <w:tcW w:type="dxa" w:w="2438"/>
            <w:tcMar>
              <w:top w:w="85" w:type="dxa"/>
              <w:left w:w="85" w:type="dxa"/>
              <w:bottom w:w="85" w:type="dxa"/>
              <w:right w:w="85" w:type="dxa"/>
            </w:tcMar>
            <w:shd w:fill="E8EDF0"/>
          </w:tcPr>
          <w:p>
            <w:pPr>
              <w:spacing w:after="60"/>
            </w:pPr>
            <w:r>
              <w:rPr>
                <w:b/>
                <w:sz w:val="20"/>
              </w:rPr>
              <w:t>Geschoss</w:t>
            </w:r>
          </w:p>
        </w:tc>
        <w:tc>
          <w:tcPr>
            <w:tcW w:type="dxa" w:w="1587"/>
            <w:tcMar>
              <w:top w:w="85" w:type="dxa"/>
              <w:left w:w="85" w:type="dxa"/>
              <w:bottom w:w="85" w:type="dxa"/>
              <w:right w:w="85" w:type="dxa"/>
            </w:tcMar>
            <w:shd w:fill="E8EDF0"/>
          </w:tcPr>
          <w:p>
            <w:pPr>
              <w:spacing w:after="60"/>
            </w:pPr>
            <w:r>
              <w:rPr>
                <w:b/>
                <w:sz w:val="20"/>
              </w:rPr>
              <w:t>Wohnfläche</w:t>
            </w:r>
          </w:p>
        </w:tc>
        <w:tc>
          <w:tcPr>
            <w:tcW w:type="dxa" w:w="1587"/>
            <w:tcMar>
              <w:top w:w="85" w:type="dxa"/>
              <w:left w:w="85" w:type="dxa"/>
              <w:bottom w:w="85" w:type="dxa"/>
              <w:right w:w="85" w:type="dxa"/>
            </w:tcMar>
            <w:shd w:fill="E8EDF0"/>
          </w:tcPr>
          <w:p>
            <w:pPr>
              <w:spacing w:after="60"/>
            </w:pPr>
            <w:r>
              <w:rPr>
                <w:b/>
                <w:sz w:val="20"/>
              </w:rPr>
              <w:t>Miteigentum</w:t>
            </w:r>
          </w:p>
        </w:tc>
        <w:tc>
          <w:tcPr>
            <w:tcW w:type="dxa" w:w="1701"/>
            <w:tcMar>
              <w:top w:w="85" w:type="dxa"/>
              <w:left w:w="85" w:type="dxa"/>
              <w:bottom w:w="85" w:type="dxa"/>
              <w:right w:w="85" w:type="dxa"/>
            </w:tcMar>
            <w:shd w:fill="E8EDF0"/>
          </w:tcPr>
          <w:p>
            <w:pPr>
              <w:spacing w:after="60"/>
            </w:pPr>
            <w:r>
              <w:rPr>
                <w:b/>
                <w:sz w:val="20"/>
              </w:rPr>
              <w:t>Stellplatz-SNR</w:t>
            </w:r>
          </w:p>
        </w:tc>
      </w:tr>
      <w:tr>
        <w:trPr>
          <w:cantSplit/>
        </w:trPr>
        <w:tc>
          <w:tcPr>
            <w:tcW w:type="dxa" w:w="624"/>
            <w:tcMar>
              <w:top w:w="85" w:type="dxa"/>
              <w:left w:w="85" w:type="dxa"/>
              <w:bottom w:w="85" w:type="dxa"/>
              <w:right w:w="85" w:type="dxa"/>
            </w:tcMar>
          </w:tcPr>
          <w:p>
            <w:pPr>
              <w:spacing w:after="60"/>
            </w:pPr>
            <w:r>
              <w:rPr>
                <w:b w:val="0"/>
                <w:sz w:val="20"/>
              </w:rPr>
              <w:t>01</w:t>
            </w:r>
          </w:p>
        </w:tc>
        <w:tc>
          <w:tcPr>
            <w:tcW w:type="dxa" w:w="2438"/>
            <w:tcMar>
              <w:top w:w="85" w:type="dxa"/>
              <w:left w:w="85" w:type="dxa"/>
              <w:bottom w:w="85" w:type="dxa"/>
              <w:right w:w="85" w:type="dxa"/>
            </w:tcMar>
          </w:tcPr>
          <w:p>
            <w:pPr>
              <w:spacing w:after="60"/>
            </w:pPr>
            <w:r>
              <w:rPr>
                <w:b w:val="0"/>
                <w:sz w:val="20"/>
              </w:rPr>
              <w:t>Erdgeschoss</w:t>
            </w:r>
          </w:p>
        </w:tc>
        <w:tc>
          <w:tcPr>
            <w:tcW w:type="dxa" w:w="1587"/>
            <w:tcMar>
              <w:top w:w="85" w:type="dxa"/>
              <w:left w:w="85" w:type="dxa"/>
              <w:bottom w:w="85" w:type="dxa"/>
              <w:right w:w="85" w:type="dxa"/>
            </w:tcMar>
          </w:tcPr>
          <w:p>
            <w:pPr>
              <w:spacing w:after="60"/>
            </w:pPr>
            <w:r>
              <w:rPr>
                <w:b w:val="0"/>
                <w:sz w:val="20"/>
              </w:rPr>
              <w:t>68,00 m²</w:t>
            </w:r>
          </w:p>
        </w:tc>
        <w:tc>
          <w:tcPr>
            <w:tcW w:type="dxa" w:w="1587"/>
            <w:tcMar>
              <w:top w:w="85" w:type="dxa"/>
              <w:left w:w="85" w:type="dxa"/>
              <w:bottom w:w="85" w:type="dxa"/>
              <w:right w:w="85" w:type="dxa"/>
            </w:tcMar>
          </w:tcPr>
          <w:p>
            <w:pPr>
              <w:spacing w:after="60"/>
            </w:pPr>
            <w:r>
              <w:rPr>
                <w:b w:val="0"/>
                <w:sz w:val="20"/>
              </w:rPr>
              <w:t>68/600</w:t>
            </w:r>
          </w:p>
        </w:tc>
        <w:tc>
          <w:tcPr>
            <w:tcW w:type="dxa" w:w="1701"/>
            <w:tcMar>
              <w:top w:w="85" w:type="dxa"/>
              <w:left w:w="85" w:type="dxa"/>
              <w:bottom w:w="85" w:type="dxa"/>
              <w:right w:w="85" w:type="dxa"/>
            </w:tcMar>
          </w:tcPr>
          <w:p>
            <w:pPr>
              <w:spacing w:after="60"/>
            </w:pPr>
            <w:r>
              <w:rPr>
                <w:b w:val="0"/>
                <w:sz w:val="20"/>
              </w:rPr>
              <w:t>01</w:t>
            </w:r>
          </w:p>
        </w:tc>
      </w:tr>
      <w:tr>
        <w:trPr>
          <w:cantSplit/>
        </w:trPr>
        <w:tc>
          <w:tcPr>
            <w:tcW w:type="dxa" w:w="624"/>
            <w:tcMar>
              <w:top w:w="85" w:type="dxa"/>
              <w:left w:w="85" w:type="dxa"/>
              <w:bottom w:w="85" w:type="dxa"/>
              <w:right w:w="85" w:type="dxa"/>
            </w:tcMar>
          </w:tcPr>
          <w:p>
            <w:pPr>
              <w:spacing w:after="60"/>
            </w:pPr>
            <w:r>
              <w:rPr>
                <w:b w:val="0"/>
                <w:sz w:val="20"/>
              </w:rPr>
              <w:t>02</w:t>
            </w:r>
          </w:p>
        </w:tc>
        <w:tc>
          <w:tcPr>
            <w:tcW w:type="dxa" w:w="2438"/>
            <w:tcMar>
              <w:top w:w="85" w:type="dxa"/>
              <w:left w:w="85" w:type="dxa"/>
              <w:bottom w:w="85" w:type="dxa"/>
              <w:right w:w="85" w:type="dxa"/>
            </w:tcMar>
          </w:tcPr>
          <w:p>
            <w:pPr>
              <w:spacing w:after="60"/>
            </w:pPr>
            <w:r>
              <w:rPr>
                <w:b w:val="0"/>
                <w:sz w:val="20"/>
              </w:rPr>
              <w:t>Erdgeschoss</w:t>
            </w:r>
          </w:p>
        </w:tc>
        <w:tc>
          <w:tcPr>
            <w:tcW w:type="dxa" w:w="1587"/>
            <w:tcMar>
              <w:top w:w="85" w:type="dxa"/>
              <w:left w:w="85" w:type="dxa"/>
              <w:bottom w:w="85" w:type="dxa"/>
              <w:right w:w="85" w:type="dxa"/>
            </w:tcMar>
          </w:tcPr>
          <w:p>
            <w:pPr>
              <w:spacing w:after="60"/>
            </w:pPr>
            <w:r>
              <w:rPr>
                <w:b w:val="0"/>
                <w:sz w:val="20"/>
              </w:rPr>
              <w:t>75,00 m²</w:t>
            </w:r>
          </w:p>
        </w:tc>
        <w:tc>
          <w:tcPr>
            <w:tcW w:type="dxa" w:w="1587"/>
            <w:tcMar>
              <w:top w:w="85" w:type="dxa"/>
              <w:left w:w="85" w:type="dxa"/>
              <w:bottom w:w="85" w:type="dxa"/>
              <w:right w:w="85" w:type="dxa"/>
            </w:tcMar>
          </w:tcPr>
          <w:p>
            <w:pPr>
              <w:spacing w:after="60"/>
            </w:pPr>
            <w:r>
              <w:rPr>
                <w:b w:val="0"/>
                <w:sz w:val="20"/>
              </w:rPr>
              <w:t>75/600</w:t>
            </w:r>
          </w:p>
        </w:tc>
        <w:tc>
          <w:tcPr>
            <w:tcW w:type="dxa" w:w="1701"/>
            <w:tcMar>
              <w:top w:w="85" w:type="dxa"/>
              <w:left w:w="85" w:type="dxa"/>
              <w:bottom w:w="85" w:type="dxa"/>
              <w:right w:w="85" w:type="dxa"/>
            </w:tcMar>
          </w:tcPr>
          <w:p>
            <w:pPr>
              <w:spacing w:after="60"/>
            </w:pPr>
            <w:r>
              <w:rPr>
                <w:b w:val="0"/>
                <w:sz w:val="20"/>
              </w:rPr>
              <w:t>02</w:t>
            </w:r>
          </w:p>
        </w:tc>
      </w:tr>
      <w:tr>
        <w:trPr>
          <w:cantSplit/>
        </w:trPr>
        <w:tc>
          <w:tcPr>
            <w:tcW w:type="dxa" w:w="624"/>
            <w:tcMar>
              <w:top w:w="85" w:type="dxa"/>
              <w:left w:w="85" w:type="dxa"/>
              <w:bottom w:w="85" w:type="dxa"/>
              <w:right w:w="85" w:type="dxa"/>
            </w:tcMar>
          </w:tcPr>
          <w:p>
            <w:pPr>
              <w:spacing w:after="60"/>
            </w:pPr>
            <w:r>
              <w:rPr>
                <w:b w:val="0"/>
                <w:sz w:val="20"/>
              </w:rPr>
              <w:t>03</w:t>
            </w:r>
          </w:p>
        </w:tc>
        <w:tc>
          <w:tcPr>
            <w:tcW w:type="dxa" w:w="2438"/>
            <w:tcMar>
              <w:top w:w="85" w:type="dxa"/>
              <w:left w:w="85" w:type="dxa"/>
              <w:bottom w:w="85" w:type="dxa"/>
              <w:right w:w="85" w:type="dxa"/>
            </w:tcMar>
          </w:tcPr>
          <w:p>
            <w:pPr>
              <w:spacing w:after="60"/>
            </w:pPr>
            <w:r>
              <w:rPr>
                <w:b w:val="0"/>
                <w:sz w:val="20"/>
              </w:rPr>
              <w:t>Erdgeschoss</w:t>
            </w:r>
          </w:p>
        </w:tc>
        <w:tc>
          <w:tcPr>
            <w:tcW w:type="dxa" w:w="1587"/>
            <w:tcMar>
              <w:top w:w="85" w:type="dxa"/>
              <w:left w:w="85" w:type="dxa"/>
              <w:bottom w:w="85" w:type="dxa"/>
              <w:right w:w="85" w:type="dxa"/>
            </w:tcMar>
          </w:tcPr>
          <w:p>
            <w:pPr>
              <w:spacing w:after="60"/>
            </w:pPr>
            <w:r>
              <w:rPr>
                <w:b w:val="0"/>
                <w:sz w:val="20"/>
              </w:rPr>
              <w:t>82,00 m²</w:t>
            </w:r>
          </w:p>
        </w:tc>
        <w:tc>
          <w:tcPr>
            <w:tcW w:type="dxa" w:w="1587"/>
            <w:tcMar>
              <w:top w:w="85" w:type="dxa"/>
              <w:left w:w="85" w:type="dxa"/>
              <w:bottom w:w="85" w:type="dxa"/>
              <w:right w:w="85" w:type="dxa"/>
            </w:tcMar>
          </w:tcPr>
          <w:p>
            <w:pPr>
              <w:spacing w:after="60"/>
            </w:pPr>
            <w:r>
              <w:rPr>
                <w:b w:val="0"/>
                <w:sz w:val="20"/>
              </w:rPr>
              <w:t>82/600</w:t>
            </w:r>
          </w:p>
        </w:tc>
        <w:tc>
          <w:tcPr>
            <w:tcW w:type="dxa" w:w="1701"/>
            <w:tcMar>
              <w:top w:w="85" w:type="dxa"/>
              <w:left w:w="85" w:type="dxa"/>
              <w:bottom w:w="85" w:type="dxa"/>
              <w:right w:w="85" w:type="dxa"/>
            </w:tcMar>
          </w:tcPr>
          <w:p>
            <w:pPr>
              <w:spacing w:after="60"/>
            </w:pPr>
            <w:r>
              <w:rPr>
                <w:b w:val="0"/>
                <w:sz w:val="20"/>
              </w:rPr>
              <w:t>03</w:t>
            </w:r>
          </w:p>
        </w:tc>
      </w:tr>
      <w:tr>
        <w:trPr>
          <w:cantSplit/>
        </w:trPr>
        <w:tc>
          <w:tcPr>
            <w:tcW w:type="dxa" w:w="624"/>
            <w:tcMar>
              <w:top w:w="85" w:type="dxa"/>
              <w:left w:w="85" w:type="dxa"/>
              <w:bottom w:w="85" w:type="dxa"/>
              <w:right w:w="85" w:type="dxa"/>
            </w:tcMar>
          </w:tcPr>
          <w:p>
            <w:pPr>
              <w:spacing w:after="60"/>
            </w:pPr>
            <w:r>
              <w:rPr>
                <w:b w:val="0"/>
                <w:sz w:val="20"/>
              </w:rPr>
              <w:t>04</w:t>
            </w:r>
          </w:p>
        </w:tc>
        <w:tc>
          <w:tcPr>
            <w:tcW w:type="dxa" w:w="2438"/>
            <w:tcMar>
              <w:top w:w="85" w:type="dxa"/>
              <w:left w:w="85" w:type="dxa"/>
              <w:bottom w:w="85" w:type="dxa"/>
              <w:right w:w="85" w:type="dxa"/>
            </w:tcMar>
          </w:tcPr>
          <w:p>
            <w:pPr>
              <w:spacing w:after="60"/>
            </w:pPr>
            <w:r>
              <w:rPr>
                <w:b w:val="0"/>
                <w:sz w:val="20"/>
              </w:rPr>
              <w:t>erstes Obergeschoss</w:t>
            </w:r>
          </w:p>
        </w:tc>
        <w:tc>
          <w:tcPr>
            <w:tcW w:type="dxa" w:w="1587"/>
            <w:tcMar>
              <w:top w:w="85" w:type="dxa"/>
              <w:left w:w="85" w:type="dxa"/>
              <w:bottom w:w="85" w:type="dxa"/>
              <w:right w:w="85" w:type="dxa"/>
            </w:tcMar>
          </w:tcPr>
          <w:p>
            <w:pPr>
              <w:spacing w:after="60"/>
            </w:pPr>
            <w:r>
              <w:rPr>
                <w:b w:val="0"/>
                <w:sz w:val="20"/>
              </w:rPr>
              <w:t>68,00 m²</w:t>
            </w:r>
          </w:p>
        </w:tc>
        <w:tc>
          <w:tcPr>
            <w:tcW w:type="dxa" w:w="1587"/>
            <w:tcMar>
              <w:top w:w="85" w:type="dxa"/>
              <w:left w:w="85" w:type="dxa"/>
              <w:bottom w:w="85" w:type="dxa"/>
              <w:right w:w="85" w:type="dxa"/>
            </w:tcMar>
          </w:tcPr>
          <w:p>
            <w:pPr>
              <w:spacing w:after="60"/>
            </w:pPr>
            <w:r>
              <w:rPr>
                <w:b w:val="0"/>
                <w:sz w:val="20"/>
              </w:rPr>
              <w:t>68/600</w:t>
            </w:r>
          </w:p>
        </w:tc>
        <w:tc>
          <w:tcPr>
            <w:tcW w:type="dxa" w:w="1701"/>
            <w:tcMar>
              <w:top w:w="85" w:type="dxa"/>
              <w:left w:w="85" w:type="dxa"/>
              <w:bottom w:w="85" w:type="dxa"/>
              <w:right w:w="85" w:type="dxa"/>
            </w:tcMar>
          </w:tcPr>
          <w:p>
            <w:pPr>
              <w:spacing w:after="60"/>
            </w:pPr>
            <w:r>
              <w:rPr>
                <w:b w:val="0"/>
                <w:sz w:val="20"/>
              </w:rPr>
              <w:t>04</w:t>
            </w:r>
          </w:p>
        </w:tc>
      </w:tr>
      <w:tr>
        <w:trPr>
          <w:cantSplit/>
        </w:trPr>
        <w:tc>
          <w:tcPr>
            <w:tcW w:type="dxa" w:w="624"/>
            <w:tcMar>
              <w:top w:w="85" w:type="dxa"/>
              <w:left w:w="85" w:type="dxa"/>
              <w:bottom w:w="85" w:type="dxa"/>
              <w:right w:w="85" w:type="dxa"/>
            </w:tcMar>
          </w:tcPr>
          <w:p>
            <w:pPr>
              <w:spacing w:after="60"/>
            </w:pPr>
            <w:r>
              <w:rPr>
                <w:b w:val="0"/>
                <w:sz w:val="20"/>
              </w:rPr>
              <w:t>05</w:t>
            </w:r>
          </w:p>
        </w:tc>
        <w:tc>
          <w:tcPr>
            <w:tcW w:type="dxa" w:w="2438"/>
            <w:tcMar>
              <w:top w:w="85" w:type="dxa"/>
              <w:left w:w="85" w:type="dxa"/>
              <w:bottom w:w="85" w:type="dxa"/>
              <w:right w:w="85" w:type="dxa"/>
            </w:tcMar>
          </w:tcPr>
          <w:p>
            <w:pPr>
              <w:spacing w:after="60"/>
            </w:pPr>
            <w:r>
              <w:rPr>
                <w:b w:val="0"/>
                <w:sz w:val="20"/>
              </w:rPr>
              <w:t>erstes Obergeschoss</w:t>
            </w:r>
          </w:p>
        </w:tc>
        <w:tc>
          <w:tcPr>
            <w:tcW w:type="dxa" w:w="1587"/>
            <w:tcMar>
              <w:top w:w="85" w:type="dxa"/>
              <w:left w:w="85" w:type="dxa"/>
              <w:bottom w:w="85" w:type="dxa"/>
              <w:right w:w="85" w:type="dxa"/>
            </w:tcMar>
          </w:tcPr>
          <w:p>
            <w:pPr>
              <w:spacing w:after="60"/>
            </w:pPr>
            <w:r>
              <w:rPr>
                <w:b w:val="0"/>
                <w:sz w:val="20"/>
              </w:rPr>
              <w:t>75,00 m²</w:t>
            </w:r>
          </w:p>
        </w:tc>
        <w:tc>
          <w:tcPr>
            <w:tcW w:type="dxa" w:w="1587"/>
            <w:tcMar>
              <w:top w:w="85" w:type="dxa"/>
              <w:left w:w="85" w:type="dxa"/>
              <w:bottom w:w="85" w:type="dxa"/>
              <w:right w:w="85" w:type="dxa"/>
            </w:tcMar>
          </w:tcPr>
          <w:p>
            <w:pPr>
              <w:spacing w:after="60"/>
            </w:pPr>
            <w:r>
              <w:rPr>
                <w:b w:val="0"/>
                <w:sz w:val="20"/>
              </w:rPr>
              <w:t>75/600</w:t>
            </w:r>
          </w:p>
        </w:tc>
        <w:tc>
          <w:tcPr>
            <w:tcW w:type="dxa" w:w="1701"/>
            <w:tcMar>
              <w:top w:w="85" w:type="dxa"/>
              <w:left w:w="85" w:type="dxa"/>
              <w:bottom w:w="85" w:type="dxa"/>
              <w:right w:w="85" w:type="dxa"/>
            </w:tcMar>
          </w:tcPr>
          <w:p>
            <w:pPr>
              <w:spacing w:after="60"/>
            </w:pPr>
            <w:r>
              <w:rPr>
                <w:b w:val="0"/>
                <w:sz w:val="20"/>
              </w:rPr>
              <w:t>05</w:t>
            </w:r>
          </w:p>
        </w:tc>
      </w:tr>
      <w:tr>
        <w:trPr>
          <w:cantSplit/>
        </w:trPr>
        <w:tc>
          <w:tcPr>
            <w:tcW w:type="dxa" w:w="624"/>
            <w:tcMar>
              <w:top w:w="85" w:type="dxa"/>
              <w:left w:w="85" w:type="dxa"/>
              <w:bottom w:w="85" w:type="dxa"/>
              <w:right w:w="85" w:type="dxa"/>
            </w:tcMar>
          </w:tcPr>
          <w:p>
            <w:pPr>
              <w:spacing w:after="60"/>
            </w:pPr>
            <w:r>
              <w:rPr>
                <w:b w:val="0"/>
                <w:sz w:val="20"/>
              </w:rPr>
              <w:t>06</w:t>
            </w:r>
          </w:p>
        </w:tc>
        <w:tc>
          <w:tcPr>
            <w:tcW w:type="dxa" w:w="2438"/>
            <w:tcMar>
              <w:top w:w="85" w:type="dxa"/>
              <w:left w:w="85" w:type="dxa"/>
              <w:bottom w:w="85" w:type="dxa"/>
              <w:right w:w="85" w:type="dxa"/>
            </w:tcMar>
          </w:tcPr>
          <w:p>
            <w:pPr>
              <w:spacing w:after="60"/>
            </w:pPr>
            <w:r>
              <w:rPr>
                <w:b w:val="0"/>
                <w:sz w:val="20"/>
              </w:rPr>
              <w:t>erstes Obergeschoss</w:t>
            </w:r>
          </w:p>
        </w:tc>
        <w:tc>
          <w:tcPr>
            <w:tcW w:type="dxa" w:w="1587"/>
            <w:tcMar>
              <w:top w:w="85" w:type="dxa"/>
              <w:left w:w="85" w:type="dxa"/>
              <w:bottom w:w="85" w:type="dxa"/>
              <w:right w:w="85" w:type="dxa"/>
            </w:tcMar>
          </w:tcPr>
          <w:p>
            <w:pPr>
              <w:spacing w:after="60"/>
            </w:pPr>
            <w:r>
              <w:rPr>
                <w:b w:val="0"/>
                <w:sz w:val="20"/>
              </w:rPr>
              <w:t>82,00 m²</w:t>
            </w:r>
          </w:p>
        </w:tc>
        <w:tc>
          <w:tcPr>
            <w:tcW w:type="dxa" w:w="1587"/>
            <w:tcMar>
              <w:top w:w="85" w:type="dxa"/>
              <w:left w:w="85" w:type="dxa"/>
              <w:bottom w:w="85" w:type="dxa"/>
              <w:right w:w="85" w:type="dxa"/>
            </w:tcMar>
          </w:tcPr>
          <w:p>
            <w:pPr>
              <w:spacing w:after="60"/>
            </w:pPr>
            <w:r>
              <w:rPr>
                <w:b w:val="0"/>
                <w:sz w:val="20"/>
              </w:rPr>
              <w:t>82/600</w:t>
            </w:r>
          </w:p>
        </w:tc>
        <w:tc>
          <w:tcPr>
            <w:tcW w:type="dxa" w:w="1701"/>
            <w:tcMar>
              <w:top w:w="85" w:type="dxa"/>
              <w:left w:w="85" w:type="dxa"/>
              <w:bottom w:w="85" w:type="dxa"/>
              <w:right w:w="85" w:type="dxa"/>
            </w:tcMar>
          </w:tcPr>
          <w:p>
            <w:pPr>
              <w:spacing w:after="60"/>
            </w:pPr>
            <w:r>
              <w:rPr>
                <w:b w:val="0"/>
                <w:sz w:val="20"/>
              </w:rPr>
              <w:t>06</w:t>
            </w:r>
          </w:p>
        </w:tc>
      </w:tr>
      <w:tr>
        <w:trPr>
          <w:cantSplit/>
        </w:trPr>
        <w:tc>
          <w:tcPr>
            <w:tcW w:type="dxa" w:w="624"/>
            <w:tcMar>
              <w:top w:w="85" w:type="dxa"/>
              <w:left w:w="85" w:type="dxa"/>
              <w:bottom w:w="85" w:type="dxa"/>
              <w:right w:w="85" w:type="dxa"/>
            </w:tcMar>
          </w:tcPr>
          <w:p>
            <w:pPr>
              <w:spacing w:after="60"/>
            </w:pPr>
            <w:r>
              <w:rPr>
                <w:b w:val="0"/>
                <w:sz w:val="20"/>
              </w:rPr>
              <w:t>07</w:t>
            </w:r>
          </w:p>
        </w:tc>
        <w:tc>
          <w:tcPr>
            <w:tcW w:type="dxa" w:w="2438"/>
            <w:tcMar>
              <w:top w:w="85" w:type="dxa"/>
              <w:left w:w="85" w:type="dxa"/>
              <w:bottom w:w="85" w:type="dxa"/>
              <w:right w:w="85" w:type="dxa"/>
            </w:tcMar>
          </w:tcPr>
          <w:p>
            <w:pPr>
              <w:spacing w:after="60"/>
            </w:pPr>
            <w:r>
              <w:rPr>
                <w:b w:val="0"/>
                <w:sz w:val="20"/>
              </w:rPr>
              <w:t>zweites Obergeschoss</w:t>
            </w:r>
          </w:p>
        </w:tc>
        <w:tc>
          <w:tcPr>
            <w:tcW w:type="dxa" w:w="1587"/>
            <w:tcMar>
              <w:top w:w="85" w:type="dxa"/>
              <w:left w:w="85" w:type="dxa"/>
              <w:bottom w:w="85" w:type="dxa"/>
              <w:right w:w="85" w:type="dxa"/>
            </w:tcMar>
          </w:tcPr>
          <w:p>
            <w:pPr>
              <w:spacing w:after="60"/>
            </w:pPr>
            <w:r>
              <w:rPr>
                <w:b w:val="0"/>
                <w:sz w:val="20"/>
              </w:rPr>
              <w:t>75,00 m²</w:t>
            </w:r>
          </w:p>
        </w:tc>
        <w:tc>
          <w:tcPr>
            <w:tcW w:type="dxa" w:w="1587"/>
            <w:tcMar>
              <w:top w:w="85" w:type="dxa"/>
              <w:left w:w="85" w:type="dxa"/>
              <w:bottom w:w="85" w:type="dxa"/>
              <w:right w:w="85" w:type="dxa"/>
            </w:tcMar>
          </w:tcPr>
          <w:p>
            <w:pPr>
              <w:spacing w:after="60"/>
            </w:pPr>
            <w:r>
              <w:rPr>
                <w:b w:val="0"/>
                <w:sz w:val="20"/>
              </w:rPr>
              <w:t>75/600</w:t>
            </w:r>
          </w:p>
        </w:tc>
        <w:tc>
          <w:tcPr>
            <w:tcW w:type="dxa" w:w="1701"/>
            <w:tcMar>
              <w:top w:w="85" w:type="dxa"/>
              <w:left w:w="85" w:type="dxa"/>
              <w:bottom w:w="85" w:type="dxa"/>
              <w:right w:w="85" w:type="dxa"/>
            </w:tcMar>
          </w:tcPr>
          <w:p>
            <w:pPr>
              <w:spacing w:after="60"/>
            </w:pPr>
            <w:r>
              <w:rPr>
                <w:b w:val="0"/>
                <w:sz w:val="20"/>
              </w:rPr>
              <w:t>07</w:t>
            </w:r>
          </w:p>
        </w:tc>
      </w:tr>
      <w:tr>
        <w:trPr>
          <w:cantSplit/>
        </w:trPr>
        <w:tc>
          <w:tcPr>
            <w:tcW w:type="dxa" w:w="624"/>
            <w:tcMar>
              <w:top w:w="85" w:type="dxa"/>
              <w:left w:w="85" w:type="dxa"/>
              <w:bottom w:w="85" w:type="dxa"/>
              <w:right w:w="85" w:type="dxa"/>
            </w:tcMar>
          </w:tcPr>
          <w:p>
            <w:pPr>
              <w:spacing w:after="60"/>
            </w:pPr>
            <w:r>
              <w:rPr>
                <w:b w:val="0"/>
                <w:sz w:val="20"/>
              </w:rPr>
              <w:t>08</w:t>
            </w:r>
          </w:p>
        </w:tc>
        <w:tc>
          <w:tcPr>
            <w:tcW w:type="dxa" w:w="2438"/>
            <w:tcMar>
              <w:top w:w="85" w:type="dxa"/>
              <w:left w:w="85" w:type="dxa"/>
              <w:bottom w:w="85" w:type="dxa"/>
              <w:right w:w="85" w:type="dxa"/>
            </w:tcMar>
          </w:tcPr>
          <w:p>
            <w:pPr>
              <w:spacing w:after="60"/>
            </w:pPr>
            <w:r>
              <w:rPr>
                <w:b w:val="0"/>
                <w:sz w:val="20"/>
              </w:rPr>
              <w:t>zweites Obergeschoss</w:t>
            </w:r>
          </w:p>
        </w:tc>
        <w:tc>
          <w:tcPr>
            <w:tcW w:type="dxa" w:w="1587"/>
            <w:tcMar>
              <w:top w:w="85" w:type="dxa"/>
              <w:left w:w="85" w:type="dxa"/>
              <w:bottom w:w="85" w:type="dxa"/>
              <w:right w:w="85" w:type="dxa"/>
            </w:tcMar>
          </w:tcPr>
          <w:p>
            <w:pPr>
              <w:spacing w:after="60"/>
            </w:pPr>
            <w:r>
              <w:rPr>
                <w:b w:val="0"/>
                <w:sz w:val="20"/>
              </w:rPr>
              <w:t>75,00 m²</w:t>
            </w:r>
          </w:p>
        </w:tc>
        <w:tc>
          <w:tcPr>
            <w:tcW w:type="dxa" w:w="1587"/>
            <w:tcMar>
              <w:top w:w="85" w:type="dxa"/>
              <w:left w:w="85" w:type="dxa"/>
              <w:bottom w:w="85" w:type="dxa"/>
              <w:right w:w="85" w:type="dxa"/>
            </w:tcMar>
          </w:tcPr>
          <w:p>
            <w:pPr>
              <w:spacing w:after="60"/>
            </w:pPr>
            <w:r>
              <w:rPr>
                <w:b w:val="0"/>
                <w:sz w:val="20"/>
              </w:rPr>
              <w:t>75/600</w:t>
            </w:r>
          </w:p>
        </w:tc>
        <w:tc>
          <w:tcPr>
            <w:tcW w:type="dxa" w:w="1701"/>
            <w:tcMar>
              <w:top w:w="85" w:type="dxa"/>
              <w:left w:w="85" w:type="dxa"/>
              <w:bottom w:w="85" w:type="dxa"/>
              <w:right w:w="85" w:type="dxa"/>
            </w:tcMar>
          </w:tcPr>
          <w:p>
            <w:pPr>
              <w:spacing w:after="60"/>
            </w:pPr>
            <w:r>
              <w:rPr>
                <w:b w:val="0"/>
                <w:sz w:val="20"/>
              </w:rPr>
              <w:t>08</w:t>
            </w:r>
          </w:p>
        </w:tc>
      </w:tr>
    </w:tbl>
    <w:p/>
    <w:p>
      <w:r>
        <w:t>Das jeweilige Wohnungsgrundbuch erhält seine amtliche Blattnummer erst durch Anlegung. Der Entwurf reserviert keine erfundenen Blattnummern. Maßgeblich sind die behördlich bescheinigten Pläne und die Eintragungsbewilligung. Die geometrische Abgrenzung darf nicht allein durch Wohnflächenzahlen oder eine informelle Planskizze ersetzt werden.</w:t>
      </w:r>
    </w:p>
    <w:p>
      <w:pPr>
        <w:pStyle w:val="Heading1"/>
      </w:pPr>
      <w:r>
        <w:t>3 Umfang des Sonder- und Gemeinschaftseigentums</w:t>
      </w:r>
    </w:p>
    <w:p>
      <w:r>
        <w:t>Zum Sondereigentum gehören die rechtlich sondereigentumsfähigen Bestandteile innerhalb der bezeichneten Wohnungsräume, insbesondere nichttragende Innenoberflächen und Ausstattungen, soweit Bestand, Sicherheit, gemeinschaftlicher Gebrauch und Rechte anderer Eigentümer nicht betroffen sind. Zwingendes Gemeinschaftseigentum wird durch diese Beschreibung nicht in Sondereigentum umgewandelt.</w:t>
      </w:r>
    </w:p>
    <w:p>
      <w:r>
        <w:t>Gemeinschaftlich bleiben insbesondere Grundstück, Fundament und Bodenplatte, tragende Wände und Decken, Dach und Abdichtung, Fassaden, außenwirksame Fensterbestandteile, Hauseingang, Treppenraum, Aufzug, gemeinschaftliche Leitungen, Wärmeerzeugung und Regelung, gemeinsame Lüftungseinrichtungen, PV-Anlage, Hauptverteilungen und Erschließungsleitungen. Gleiches gilt für Bauteile, deren gemeinschaftlicher Charakter zwingend aus Paragraf 5 WEG folgt, auch wenn sie sich räumlich innerhalb einer Wohnung befinden.</w:t>
      </w:r>
    </w:p>
    <w:p>
      <w:r>
        <w:t>Das Haus hat keinen Keller. Abstellräume innerhalb der Wohnungen gehören zur jeweiligen Wohnung; Technik-, Fahrrad- und Außenflächen bleiben gemeinschaftlich, soweit nachfolgend ein Sondernutzungsrecht zugeordnet wird. Die zurückgesetzte südliche Dachfläche ist Wartungsdach und keine gemeinschaftliche oder private Dachterrasse. Nutzung zu Aufenthaltszwecken ist nicht Vertragsinhalt.</w:t>
      </w:r>
    </w:p>
    <w:p>
      <w:pPr>
        <w:pStyle w:val="Heading1"/>
      </w:pPr>
      <w:r>
        <w:t>4 Sondernutzungsrechte an den Stellplätzen</w:t>
      </w:r>
    </w:p>
    <w:p>
      <w:r>
        <w:t>Jede Wohnung erhält das ausschließliche Sondernutzungsrecht an genau dem nummerngleichen Pkw-Stellplatz. Lage, Umgrenzung, Breite und Tiefe werden im endgültigen Aufteilungsplan dargestellt. Stellplatz 01 wird mit der für die rollstuhlgerechte Wohnung vorgesehenen barrierefreien Wegekette verbunden. Das Sondernutzungsrecht erlaubt das Abstellen eines zulässigen Pkw, aber keine Einhausung, Lagerung gefährlicher Stoffe oder Behinderung gemeinschaftlicher Wege.</w:t>
      </w:r>
    </w:p>
    <w:p>
      <w:r>
        <w:t>Die Oberflächen und ihre konstruktiven Bestandteile bleiben gemeinschaftlich. Der jeweilige Berechtigte trägt die laufende Reinigung seines Stellplatzes und die Kosten seiner individuellen Stromnutzung. Bauliche Erhaltung und Veränderungen erfolgen durch die GdWE nach Gesetz und wirksamen Beschlüssen. Ein Sondernutzungsrecht allein erlaubt keinen Eingriff in Abdichtung, Leitungsführung oder gemeinsame elektrische Leistung. Die erstmalig vereinbarte Herstellung schuldet weiterhin die Verkäuferin.</w:t>
      </w:r>
    </w:p>
    <w:p>
      <w:pPr>
        <w:pStyle w:val="Heading1"/>
      </w:pPr>
      <w:r>
        <w:t>5 Wohnnutzung und gemeinschaftliche Flächen</w:t>
      </w:r>
    </w:p>
    <w:p>
      <w:r>
        <w:t>Die Einheiten dienen dem Wohnen. Eine nicht störende Tätigkeit innerhalb der Wohnung bleibt im gesetzlichen Rahmen zulässig; eine gewerbliche Umnutzung mit verändertem Publikumsverkehr oder bauordnungsrechtlichen Anforderungen bedarf der erforderlichen Genehmigungen und Zustimmungen. Die Vermietung zu Wohnzwecken ist zulässig. Diese Gemeinschaftsordnung enthält keinen Anspruch auf baurechtlich unzulässige Nutzungen.</w:t>
      </w:r>
    </w:p>
    <w:p>
      <w:r>
        <w:t>Die 16 Bewohner-Fahrradplätze werden so organisiert, dass jede Wohnung zwei Plätze nutzen kann; die vier Besucherplätze bleiben allgemein zugänglich. Die 30 m² große Spielfläche und die Grünflächen dienen der gemeinschaftlichen Nutzung. Die GdWE kann eine angemessene Benutzungsordnung beschließen. Rettungswege, Aufstellflächen, Technikzugänge und der barrierefreie Zugang dürfen nicht zugestellt werden.</w:t>
      </w:r>
    </w:p>
    <w:p>
      <w:pPr>
        <w:pStyle w:val="Heading1"/>
      </w:pPr>
      <w:r>
        <w:t>6 Technische Anlagen und Betrieb</w:t>
      </w:r>
    </w:p>
    <w:p>
      <w:r>
        <w:t>Die Wärmepumpenkaskade, der Aufzug, die PV-Anlage und das Lastmanagement werden gemeinschaftlich betrieben. Die GdWE übernimmt nach ordnungsgemäßer Übergabe die gesetzlichen Betreiberpflichten und beauftragt die erforderlichen Wartungen und Prüfungen. Die Übergabe enthält Anlagenidentifikation, Bedienunterlagen und Prüfberichte. Vor einer ordnungsgemäßen betriebsfähigen Herstellung wird der Verkäuferin durch diese Regelung keine Betreiberpflicht abgenommen.</w:t>
      </w:r>
    </w:p>
    <w:p>
      <w:r>
        <w:t>Die PV-Anlage bleibt Gemeinschaftseigentum; Strom wird für die gemeinschaftlichen Verbraucher eingesetzt und im Übrigen nach dem gewählten Netz- und Messkonzept eingespeist. Ein Stromliefervertrag mit einzelnen Wohnungseigentümern wird hierdurch nicht geschlossen. Änderungen des Betreibermodells und die damit verbundenen steuerlichen und energierechtlichen Pflichten bedürfen einer gesonderten Prüfung und Entscheidung.</w:t>
      </w:r>
    </w:p>
    <w:p>
      <w:pPr>
        <w:pStyle w:val="Heading1"/>
      </w:pPr>
      <w:r>
        <w:t>7 Kosten und Lasten</w:t>
      </w:r>
    </w:p>
    <w:p>
      <w:r>
        <w:t>Die laufenden gemeinschaftlichen Kosten und Lasten werden grundsätzlich im Verhältnis der Miteigentumsanteile verteilt, soweit zwingendes Recht oder wirksame Vereinbarungen und Beschlüsse eine andere Zuordnung verlangen. Heiz- und Warmwasserkosten werden nach den dafür geltenden gesetzlichen Vorgaben abgerechnet. Individuell erfasster Wohnungsstrom und eigene Ladevorgänge sind keine unbesehen nach Fläche zu verteilenden Allgemeinkosten.</w:t>
      </w:r>
    </w:p>
    <w:p>
      <w:r>
        <w:t>Die Eigentümerversammlung beschließt Wirtschaftsplan, Vorschüsse, Rücklage und Jahresabrechnung im gesetzlichen Verfahren. Diese Urkunde setzt keine erfundene dauerhafte Hausgeldhöhe fest. Die Verkäuferin bleibt für ihre Einheiten kostenpflichtig; ein Leerstand oder fehlender Verkauf befreit sie nicht von den auf sie entfallenden gemeinschaftlichen Lasten.</w:t>
      </w:r>
    </w:p>
    <w:p>
      <w:pPr>
        <w:pStyle w:val="Heading1"/>
      </w:pPr>
      <w:r>
        <w:t>8 Verwaltung, Stimmrecht und Vertretung</w:t>
      </w:r>
    </w:p>
    <w:p>
      <w:r>
        <w:t>Die Eigentümer entscheiden über die Bestellung eines geeigneten Verwalters in einer gesonderten Beschlussfassung. Die gesetzlichen Grenzen für Erstbestellung, Abberufung und Vertragsdauer bleiben maßgeblich. Dieser Entwurf enthält keine Bestellung einer mit der Verkäuferin verbundenen Verwaltung und keinen bereits geschlossenen Verwaltervertrag.</w:t>
      </w:r>
    </w:p>
    <w:p>
      <w:r>
        <w:t>Für das Stimmrecht gilt die gesetzliche Regelung, soweit nicht im endgültigen notariellen Verfahren eine ausdrücklich bezeichnete wirksame Abweichung vereinbart wird. Die Verkäuferin erhält kein Stimmrecht für bereits auf Erwerber übergegangene Positionen entgegen Paragraf 8 Absatz 3 WEG. Der Verwalter vertritt die GdWE im gesetzlichen Rahmen, aber nicht die Erwerber bei der kaufvertraglichen Abnahme.</w:t>
      </w:r>
    </w:p>
    <w:p>
      <w:pPr>
        <w:pStyle w:val="Heading1"/>
      </w:pPr>
      <w:r>
        <w:t>9 Mängel, Abnahme und Zugang</w:t>
      </w:r>
    </w:p>
    <w:p>
      <w:r>
        <w:t>Die kaufvertragliche Abnahme und die aus den Erwerbsverträgen folgenden Mängelrechte werden nicht durch diese Gemeinschaftsordnung verändert. Weder ein Mehrheitsbeschluss noch eine technische Begehung erklärt ohne individuelle Rechtsgrundlage die Abnahme für einen Erwerber. Die gesetzlich mögliche gemeinschaftliche Verfolgung gleichgerichteter Mängelansprüche bleibt zulässig.</w:t>
      </w:r>
    </w:p>
    <w:p>
      <w:r>
        <w:t>Notwendiger Zugang zu gemeinschaftlichen Bauteilen in einer Wohnung ist nach rechtzeitiger Ankündigung und Abstimmung im gesetzlichen Umfang zu gewähren. Bei dringender Gefahr gelten die gesetzlichen Notmaßnahmen. Die dadurch verursachten Beeinträchtigungen und Wiederherstellungspflichten werden ursachenbezogen nach Gesetz behandelt; ein pauschaler entschädigungsloser Eingriff in beliebige Wohnungsbereiche wird nicht vereinbart.</w:t>
      </w:r>
    </w:p>
    <w:p>
      <w:pPr>
        <w:pStyle w:val="Heading1"/>
      </w:pPr>
      <w:r>
        <w:t>10 Änderung und Grundbuchvollzug</w:t>
      </w:r>
    </w:p>
    <w:p>
      <w:r>
        <w:t>Die Eigentümerin bewilligt und beantragt die Eintragung der bezeichneten Aufteilung und Gemeinschaftsordnung unter Bezugnahme auf den endgültigen behördlichen Aufteilungsplan. Die Urkunde darf erst mit den gesetzlich notwendigen Anlagen zum Grundbuchvollzug eingereicht werden. Die notariellen Vollzugsbefugnisse sind auf formale Korrekturen beschränkt; wirtschaftliche Änderungen bedürfen einer gesonderten wirksamen Erklärung der Berechtigten.</w:t>
      </w:r>
    </w:p>
    <w:p>
      <w:r>
        <w:t>Die Verkäuferin behält sich keine freie Änderung von Wohnungszahl, Kostenquote, Nutzungsart, Fläche oder Sondernutzungsrechten vor. Etwaige Mitwirkungspflichten aus einem Erwerbsvertrag setzen dessen konkrete, zumutbare und wirksame Regelung voraus. Eine unwirksame Klausel wird nicht durch eine pauschale Treuepflicht ersetzt.</w:t>
      </w:r>
    </w:p>
    <w:sectPr w:rsidR="00FC693F" w:rsidRPr="0006063C" w:rsidSect="00034616">
      <w:headerReference w:type="default" r:id="rId9"/>
      <w:footerReference w:type="default" r:id="rId10"/>
      <w:pgSz w:w="11906" w:h="16838"/>
      <w:pgMar w:top="1020" w:right="1417"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Notar Dr. Johann Bauer · Hildesheim · Entwurfsfassung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Teilungserklärung und Gemeinschaftsordnung · TE-OPTION-01</dc:title>
  <dc:subject/>
  <dc:creator>Klotzkette</dc:creator>
  <cp:keywords/>
  <dc:description>generated by python-docx</dc:description>
  <cp:lastModifiedBy>Klotzkette</cp:lastModifiedBy>
  <cp:revision>1</cp:revision>
  <dcterms:created xsi:type="dcterms:W3CDTF">2027-11-01T00:00:00Z</dcterms:created>
  <dcterms:modified xsi:type="dcterms:W3CDTF">2027-11-01T00:00:00Z</dcterms:modified>
  <cp:category/>
  <dc:language>de-DE</dc:language>
</cp:coreProperties>
</file>