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Baubeschreibung BT-BB-01 · Einzelverkaufsoption</w:t>
      </w:r>
    </w:p>
    <w:p>
      <w:r>
        <w:t>Stand 1. November 2027 · Option Einzelverkauf · Entwurf zur Abstimmung</w:t>
      </w:r>
    </w:p>
    <w:p>
      <w:r>
        <w:t>Die nachstehende Beschreibung konkretisiert das vorgesehene Leistungssoll der Verkaufsoption. Sie ergänzt den vorhandenen Planungsstand des Mietprojekts. Ihre Einbeziehung in einen Bauträgervertrag setzt eine ausdrückliche Entscheidung für die Option und die vollständige notarielle Abstimmung voraus.</w:t>
      </w:r>
    </w:p>
    <w:p>
      <w:pPr>
        <w:pStyle w:val="Heading1"/>
      </w:pPr>
      <w:r>
        <w:t>1 Grundstück und Erschließung</w:t>
      </w:r>
    </w:p>
    <w:p>
      <w:r>
        <w:t>Das Gebäude wird auf dem 1.300 m² großen Grundstück Wohnhof Am Steinbogen 18 in Hildesheim errichtet. Die äußeren Abmessungen betragen in Erdgeschoss und erstem Obergeschoss 20,00 m mal 15,00 m, im zweiten Obergeschoss 20,00 m mal 11,00 m. Daraus folgen 820 m² Brutto-Grundfläche. Der obere Rücksprung liegt an der Südseite. Ein Keller wird nicht gebaut.</w:t>
      </w:r>
    </w:p>
    <w:p>
      <w:r>
        <w:t>Die Verkäuferin stellt die für den Betrieb erforderlichen Anschlüsse für Wasser, Abwasser, Strom und die vorgesehenen Telekommunikations-Leerrohre her. Die Einführung ins Gebäude wird gegen die zu erwartenden Einwirkungen abgedichtet. Die Außenentwässerung und Rückhaltung entsprechen dem genehmigten, koordinierten Entwässerungsplan. Die öffentliche Infrastruktur wird nicht als Eigentum der Erwerber verkauft.</w:t>
      </w:r>
    </w:p>
    <w:p>
      <w:pPr>
        <w:pStyle w:val="Heading1"/>
      </w:pPr>
      <w:r>
        <w:t>2 Tragwerk, Bodenplatte und Rohbau</w:t>
      </w:r>
    </w:p>
    <w:p>
      <w:r>
        <w:t>Der Rohbau erhält ein auf den geotechnischen Untersuchungsstand abgestimmtes Gründungssystem mit Bodenplatte und verdichteter Tragschicht. Tragende Bauteile werden nach der abschließend geprüften beziehungsweise verfahrensgerecht erstellten Statik hergestellt. Die koordinierte Öffnungsplanung wird vor Ausführung mit Tragwerk und Haustechnik abgeglichen. Nachträgliche Kernbohrungen durch bewehrte oder brandschutzrelevante Bauteile dürfen keine ungenehmigten Ersatzlösungen für fehlende Koordination bilden.</w:t>
      </w:r>
    </w:p>
    <w:p>
      <w:r>
        <w:t>Außen- und Wohnungstrennwände, Decken und Treppen werden einschließlich der für Schall-, Brand- und Wärmeschutz erforderlichen Anschlüsse ausgeführt. Die Verkäuferin schuldet ein zusammenpassendes Bausystem; eine isolierte Baustoffkennzahl ersetzt nicht die Funktionsfähigkeit der Anschlüsse. Estrich und Bodenbeläge erhalten die abgestimmten Rand- und Bewegungsfugen.</w:t>
      </w:r>
    </w:p>
    <w:p>
      <w:pPr>
        <w:pStyle w:val="Heading1"/>
      </w:pPr>
      <w:r>
        <w:t>3 Dach, Fassade und Abdichtung</w:t>
      </w:r>
    </w:p>
    <w:p>
      <w:r>
        <w:t>Die Dachflächen werden als abgedichtete Flachdachkonstruktion mit geregelter Haupt- und Notentwässerung hergestellt. Das obere Dach liegt bei +9,60 m, die Attika endet bei +9,90 m über dem Bezugsgelände. Die südliche Rücksprungfläche liegt bei +6,20 m und bleibt ausschließlich Wartungsdach. PV-Unterkonstruktion, Dachabläufe, Anschlüsse und Wartungswege sind konstruktiv zu koordinieren.</w:t>
      </w:r>
    </w:p>
    <w:p>
      <w:r>
        <w:t>Die Fassade wird als fertig beschichtete, gedämmte Gebäudehülle mit zum System passenden Sockel-, Fensterbank- und Dachrandanschlüssen ausgeführt. Die äußere Farbgebung folgt der neutralen hellen Grundpalette des abgestimmten Fassadenentwurfs. Eine nachträgliche beliebige Farbänderung durch die Verkäuferin ist nicht vereinbart. Fensteranschlüsse werden innen luftdicht und außen schlagregensicher sowie entwässerungsgerecht hergestellt.</w:t>
      </w:r>
    </w:p>
    <w:p>
      <w:r>
        <w:t>Der Hauseingang wird schwellenlos mit der freigegebenen Entwässerungsrinne und einem vom Gebäude weg gerichteten Oberflächengefälle ausgeführt. Der Abdichtungsanschluss an den Türrahmen wird vor Verdeckung dokumentiert. Der im Vergabeverfahren verworfene vier Zentimeter hohe Standardschwellenanschluss wird nicht eingebaut.</w:t>
      </w:r>
    </w:p>
    <w:p>
      <w:pPr>
        <w:pStyle w:val="Heading1"/>
      </w:pPr>
      <w:r>
        <w:t>4 Fenster, Türen und Zugänglichkeit</w:t>
      </w:r>
    </w:p>
    <w:p>
      <w:r>
        <w:t>Die Fenster erhalten eine wärmeschutzgerechte Mehrscheibenverglasung, funktionsfähige Beschläge und die im Plan bezeichneten Öffnungsrichtungen. Als vertraglicher Planungswert für das vollständige Fenster wird ein Wärmedurchgangskoeffizient von höchstens 0,90 W/(m²K) vereinbart. Erforderliche Sicherungen und Lüftungsfunktionen werden mit dem Raum- und Lüftungskonzept abgestimmt. Maße und Teilungen ergeben sich aus den genehmigten und koordinierten Plänen.</w:t>
      </w:r>
    </w:p>
    <w:p>
      <w:r>
        <w:t>Wohnungseingänge erhalten eine lichte Durchgangsbreite von mindestens 0,90 m. Die barrierefreien Wegeketten werden durchgehend ohne unzulässige Schwellen hergestellt. Wohnung 01 erhält zusätzlich die in BF01 eingezeichneten rollstuhlgerechten Bewegungsflächen einschließlich 1,50 m mal 1,50 m im Bad, geeigneter Türanfahrbereiche und unterfahrbaren Waschtischs. Die Waschmaschine ist dort im Abstellbereich vorgesehen, damit die Bewegungsfläche frei bleibt.</w:t>
      </w:r>
    </w:p>
    <w:p>
      <w:r>
        <w:t>Innentüren erhalten eine weiße glatte Oberfläche und beschlägebezogen eine zeitlose Edelstahloptik. Die in der Planung erforderlichen Brandschutz- und Rauchschutzabschlüsse werden mit ihrem nachgewiesenen System eingebaut; dekorative Bemusterung darf diese Eigenschaften nicht verdrängen. Türschließkräfte und nutzbare Breiten sind vor Abnahme zu prüfen.</w:t>
      </w:r>
    </w:p>
    <w:p>
      <w:pPr>
        <w:pStyle w:val="Heading1"/>
      </w:pPr>
      <w:r>
        <w:t>5 Wärmeschutz und Schallschutz</w:t>
      </w:r>
    </w:p>
    <w:p>
      <w:r>
        <w:t>Die energetische Planung sieht Außenwand 0,18 W/(m²K), Dach 0,14 W/(m²K), Bodenplatte 0,20 W/(m²K) und Fenster 0,90 W/(m²K) als jeweilige obere Zielwerte vor. Die Verkäuferin schuldet außerdem den vollständigen gesetzlich erforderlichen Nachweis für das Gebäude. Die Einzelwerte allein behaupten weder eine bestimmte Förderklasse noch eine Fördermittelzusage. Eine nachträgliche Förderung setzt ein gesondertes Verfahren voraus.</w:t>
      </w:r>
    </w:p>
    <w:p>
      <w:r>
        <w:t>Als zusätzliche vertragliche Schallschutzziele für die hier betroffenen Wohnungstrennbauteile werden ein bewertetes Bau-Schalldämm-Maß von mindestens 55 dB für Wohnungstrennwände und mindestens 54 dB für Wohnungstrenndecken sowie ein bewerteter Norm-Trittschallpegel von höchstens 46 dB zwischen fremden Wohn- und Schlafräumen vereinbart. Für Geräusche gemeinschaftlicher haustechnischer Anlagen in fremden schutzbedürftigen Räumen wird ein maximaler A-bewerteter Norm-Schalldruckpegel von 27 dB vereinbart, soweit das einschlägige Mess- und Bewertungsverfahren auf die konkrete Anlage anwendbar ist.</w:t>
      </w:r>
    </w:p>
    <w:p>
      <w:r>
        <w:t>Diese Zahlen sind gewählte Vertragsanforderungen der Verkaufsoption, keine Wiedergabe einer ungeprüft behaupteten DIN-Mindesttabelle. Vor Einbeziehung in einen Vertrag muss die Fachplanung ihre Erreichbarkeit mit den tatsächlich gewählten Bauteilen und Anschlüssen nachweisen; erforderliche planerische und kalkulatorische Anpassungen trägt innerhalb des vereinbarten Festpreises die Verkäuferin. Die Prüfmethode und Messorte werden im Schallschutznachweis festgelegt. Die Option darf ohne diesen Abgleich nicht freigegeben werden.</w:t>
      </w:r>
    </w:p>
    <w:p>
      <w:pPr>
        <w:pStyle w:val="Heading1"/>
      </w:pPr>
      <w:r>
        <w:t>6 Heizung, Warmwasser und Lüftung</w:t>
      </w:r>
    </w:p>
    <w:p>
      <w:r>
        <w:t>Die gemeinsame Wärmeversorgung erfolgt durch zwei Wärmepumpengeräte mit jeweils 18 kW Nennleistung im abgestimmten Kaskadenbetrieb. Die aus dem bisherigen Berechnungsstand ermittelte Gebäudeheizlast beträgt 27,2 kW. Nennleistung, Auslegungstemperatur und tatsächlicher Betriebspunkt sind voneinander zu unterscheiden; die Geräteauswahl muss den endgültigen fachplanerischen Nachweis erfüllen. Ein Anspruch auf einen bestimmten Jahresstromverbrauch folgt daraus nicht.</w:t>
      </w:r>
    </w:p>
    <w:p>
      <w:r>
        <w:t>Die Wohnungen erhalten die vorgesehenen Flächenheizkreise mit wohnungsbezogener Regelung, dokumentiertem hydraulischem Abgleich und nachvollziehbaren Einstellwerten. Trinkwasserinstallation, Warmwasserbereitung und Lüftung werden hygienegerecht und nach den einschlägigen technischen Regeln geplant, gespült, geprüft und in Betrieb genommen. Die Verkäuferin übergibt die vollständigen Prüf- und Einstellunterlagen. Gemeinschaftliche Wartung und individuelle Bedienpflichten sind in den Betriebsunterlagen getrennt beschrieben.</w:t>
      </w:r>
    </w:p>
    <w:p>
      <w:pPr>
        <w:pStyle w:val="Heading1"/>
      </w:pPr>
      <w:r>
        <w:t>7 Sanitärausstattung und Oberflächen</w:t>
      </w:r>
    </w:p>
    <w:p>
      <w:r>
        <w:t>Jede Wohnung erhält ein fertig nutzbares Bad mit bodengleichem Duschbereich, WC, Waschtisch, Armaturen und den geplanten Anschlüssen. Die Basisausstattung verwendet weiße Keramik, verchromte beziehungsweise gleichwertig dauerhaft geschützte Armaturen und eine neutral helle Fliesenserie. Im rollstuhlgerechten Bad der Wohnung 01 werden die erforderlichen Bewegungsflächen, Befestigungsuntergründe für Haltegriffe und die unterfahrbare Anordnung eingehalten.</w:t>
      </w:r>
    </w:p>
    <w:p>
      <w:r>
        <w:t>Wohn- und Schlafräume erhalten den in der Bemusterungsordnung bezeichneten Eiche-Natur-Mehrschichtboden, Flure eine darauf abgestimmte strapazierfähige Oberfläche, Nassbereiche den vorgesehenen keramischen Belag. Sockelleisten, Übergänge, dauerelastische Anschlussfugen und die erforderlichen Untergrundvorbereitungen gehören zur Leistung. Innenwände erhalten eine geglättete, streichfähige Oberfläche und einen deckenden weißen Schlussanstrich. Spachtelqualität und Untergrund werden auf diese Ausführung abgestimmt; besondere Streiflichtperfektion ist nur bei gesonderter Vereinbarung geschuldet.</w:t>
      </w:r>
    </w:p>
    <w:p>
      <w:r>
        <w:t>Die Käuferseite kann innerhalb der rechtzeitig angebotenen, kostenneutralen Basisgruppen wählen. Es werden keine verdeckten Quadratmeterzulagen für die vereinbarte Grundausführung verlangt. Abweichende Formate, Diagonalverlegung, Nischen, besondere Untergründe oder ein Produkt außerhalb der Basisgruppe werden erst nach vollständigem Sonderwunschangebot ausgeführt.</w:t>
      </w:r>
    </w:p>
    <w:p>
      <w:pPr>
        <w:pStyle w:val="Heading1"/>
      </w:pPr>
      <w:r>
        <w:t>8 Elektro, Kommunikation, PV und Laden</w:t>
      </w:r>
    </w:p>
    <w:p>
      <w:r>
        <w:t>Die Wohnungen erhalten getrennte Unterverteilungen, die nach dem abgestimmten Elektroplan erforderlichen Steckdosen, Schalter und Lichtauslässe sowie Schutzorgane und Potentialausgleich. Raumbezogene Stromkreise und Zählerzuordnung werden eindeutig beschriftet. Küchenanschlüsse werden nach dem vorhandenen Installationsplan vorgerichtet; die konkrete Einbauküche ist nicht enthalten. Die Fertigstellungsprüfung umfasst alle neu errichteten Anlagenbereiche und wird mit Messwerten dokumentiert.</w:t>
      </w:r>
    </w:p>
    <w:p>
      <w:r>
        <w:t>Auf den Dächern werden 80 Module mit je 450 Wp, insgesamt 36 kWp und 160 m² Modulfläche, samt Wechselrichter, Verkabelung und Betriebsunterlagen installiert. Das Anlagenkonzept ist auf Allgemeinstrom und Überschusseinspeisung ausgerichtet. Die steuerliche Behandlung der PV-Lieferung und die spätere Betreiberbesteuerung sind getrennte Fragen; die Kaufpreisvereinbarung enthält keine Garantie eines dauerhaften Nullsteuersatzes für sämtliche Leistungen.</w:t>
      </w:r>
    </w:p>
    <w:p>
      <w:r>
        <w:t>Alle acht Stellplätze erhalten die vereinbarte Leitungsinfrastruktur und Vorverkabelung. Zwei Ladepunkte mit jeweils bis zu 11 kW werden einschließlich Lastmanagement installiert, davon einer am barrierefreien Stellplatz 01. Für die Verkaufsoption ist der zweite Ladepunkt dem Stellplatz 02 zugeordnet. Diese zusätzliche konkrete Zuordnung ist vor Vertragsfreigabe im Elektro- und Aufteilungsplan zu übernehmen. Der tatsächlich gleichzeitig verfügbare Ladestrom hängt von Netzanschluss und Lastmanagement ab.</w:t>
      </w:r>
    </w:p>
    <w:p>
      <w:pPr>
        <w:pStyle w:val="Heading1"/>
      </w:pPr>
      <w:r>
        <w:t>9 Aufzug, Außenanlagen und Übergabe</w:t>
      </w:r>
    </w:p>
    <w:p>
      <w:r>
        <w:t>Der Aufzug erschließt drei Haltestellen und hat eine vereinbarte nutzbare Kabine von 1,10 m mal 1,40 m sowie eine lichte Türbreite von 0,90 m bei 630 kg Nennlast. Notruf, Prüfungen und Betriebsfreigabe gehören zum herzustellenden funktionsfähigen System. Die Zugänge dürfen nicht durch Türschwenkbereiche oder Abstellnutzung eingeschränkt werden.</w:t>
      </w:r>
    </w:p>
    <w:p>
      <w:r>
        <w:t>Die Außenanlagen umfassen acht nutzbare Pkw-Stellplätze, sichere Wege, 16 gesicherte Bewohner-Fahrradplätze, vier Besucherplätze, einen 30 m² großen Spielbereich und die planmäßig vorgesehenen Grünflächen. Die Verkäuferin übergibt die Anlagen in einem nutzbaren Zustand; Verkehrs- und Spielplatzsicherheit dürfen nicht auf eine unbestimmte spätere Ausführung verschoben werden. Anwuchs- und Pflegeleistungen folgen dem vereinbarten Außenanlagenauftrag.</w:t>
      </w:r>
    </w:p>
    <w:p>
      <w:r>
        <w:t>Zur Übergabe werden Schlüssel, Zählerstände, Anlagenbestände und Betriebsunterlagen in einer wohnungsbezogenen Liste festgehalten. Die Beseitigung protokollierter Mängel erfolgt mit nachvollziehbaren Erledigungsnachweisen. Der Betrieb einer Anlage ersetzt nicht die Erklärung der Abnahme. Wartungs- und Prüftermine werden der Verwaltung mitgeteilt; ein nicht bestehender Wartungsvertrag wird nicht durch einen Anlagenordner fingiert.</w:t>
      </w:r>
    </w:p>
    <w:p>
      <w:pPr>
        <w:pStyle w:val="Heading1"/>
      </w:pPr>
      <w:r>
        <w:t>10 Planverzeichnis und Einbeziehung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742"/>
        <w:gridCol w:w="2381"/>
      </w:tblGrid>
      <w:tr>
        <w:trPr>
          <w:cantSplit/>
          <w:tblHeader/>
        </w:trPr>
        <w:tc>
          <w:tcPr>
            <w:tcW w:type="dxa" w:w="1814"/>
            <w:tcMar>
              <w:top w:w="85" w:type="dxa"/>
              <w:left w:w="85" w:type="dxa"/>
              <w:bottom w:w="85" w:type="dxa"/>
              <w:right w:w="85" w:type="dxa"/>
            </w:tcMar>
            <w:shd w:fill="E8EDF0"/>
          </w:tcPr>
          <w:p>
            <w:pPr>
              <w:spacing w:after="60"/>
            </w:pPr>
            <w:r>
              <w:rPr>
                <w:b/>
                <w:sz w:val="20"/>
              </w:rPr>
              <w:t>Plan</w:t>
            </w:r>
          </w:p>
        </w:tc>
        <w:tc>
          <w:tcPr>
            <w:tcW w:type="dxa" w:w="3742"/>
            <w:tcMar>
              <w:top w:w="85" w:type="dxa"/>
              <w:left w:w="85" w:type="dxa"/>
              <w:bottom w:w="85" w:type="dxa"/>
              <w:right w:w="85" w:type="dxa"/>
            </w:tcMar>
            <w:shd w:fill="E8EDF0"/>
          </w:tcPr>
          <w:p>
            <w:pPr>
              <w:spacing w:after="60"/>
            </w:pPr>
            <w:r>
              <w:rPr>
                <w:b/>
                <w:sz w:val="20"/>
              </w:rPr>
              <w:t>Gegenstand</w:t>
            </w:r>
          </w:p>
        </w:tc>
        <w:tc>
          <w:tcPr>
            <w:tcW w:type="dxa" w:w="2381"/>
            <w:tcMar>
              <w:top w:w="85" w:type="dxa"/>
              <w:left w:w="85" w:type="dxa"/>
              <w:bottom w:w="85" w:type="dxa"/>
              <w:right w:w="85" w:type="dxa"/>
            </w:tcMar>
            <w:shd w:fill="E8EDF0"/>
          </w:tcPr>
          <w:p>
            <w:pPr>
              <w:spacing w:after="60"/>
            </w:pPr>
            <w:r>
              <w:rPr>
                <w:b/>
                <w:sz w:val="20"/>
              </w:rPr>
              <w:t>Bezugsstand</w:t>
            </w:r>
          </w:p>
        </w:tc>
      </w:tr>
      <w:tr>
        <w:trPr>
          <w:cantSplit/>
        </w:trPr>
        <w:tc>
          <w:tcPr>
            <w:tcW w:type="dxa" w:w="1814"/>
            <w:tcMar>
              <w:top w:w="85" w:type="dxa"/>
              <w:left w:w="85" w:type="dxa"/>
              <w:bottom w:w="85" w:type="dxa"/>
              <w:right w:w="85" w:type="dxa"/>
            </w:tcMar>
          </w:tcPr>
          <w:p>
            <w:pPr>
              <w:spacing w:after="60"/>
            </w:pPr>
            <w:r>
              <w:rPr>
                <w:b w:val="0"/>
                <w:sz w:val="20"/>
              </w:rPr>
              <w:t>LP01 Revision 1</w:t>
            </w:r>
          </w:p>
        </w:tc>
        <w:tc>
          <w:tcPr>
            <w:tcW w:type="dxa" w:w="3742"/>
            <w:tcMar>
              <w:top w:w="85" w:type="dxa"/>
              <w:left w:w="85" w:type="dxa"/>
              <w:bottom w:w="85" w:type="dxa"/>
              <w:right w:w="85" w:type="dxa"/>
            </w:tcMar>
          </w:tcPr>
          <w:p>
            <w:pPr>
              <w:spacing w:after="60"/>
            </w:pPr>
            <w:r>
              <w:rPr>
                <w:b w:val="0"/>
                <w:sz w:val="20"/>
              </w:rPr>
              <w:t>Lageplan und Außenflächen</w:t>
            </w:r>
          </w:p>
        </w:tc>
        <w:tc>
          <w:tcPr>
            <w:tcW w:type="dxa" w:w="2381"/>
            <w:tcMar>
              <w:top w:w="85" w:type="dxa"/>
              <w:left w:w="85" w:type="dxa"/>
              <w:bottom w:w="85" w:type="dxa"/>
              <w:right w:w="85" w:type="dxa"/>
            </w:tcMar>
          </w:tcPr>
          <w:p>
            <w:pPr>
              <w:spacing w:after="60"/>
            </w:pPr>
            <w:r>
              <w:rPr>
                <w:b w:val="0"/>
                <w:sz w:val="20"/>
              </w:rPr>
              <w:t>24.06.2027</w:t>
            </w:r>
          </w:p>
        </w:tc>
      </w:tr>
      <w:tr>
        <w:trPr>
          <w:cantSplit/>
        </w:trPr>
        <w:tc>
          <w:tcPr>
            <w:tcW w:type="dxa" w:w="1814"/>
            <w:tcMar>
              <w:top w:w="85" w:type="dxa"/>
              <w:left w:w="85" w:type="dxa"/>
              <w:bottom w:w="85" w:type="dxa"/>
              <w:right w:w="85" w:type="dxa"/>
            </w:tcMar>
          </w:tcPr>
          <w:p>
            <w:pPr>
              <w:spacing w:after="60"/>
            </w:pPr>
            <w:r>
              <w:rPr>
                <w:b w:val="0"/>
                <w:sz w:val="20"/>
              </w:rPr>
              <w:t>GP01</w:t>
            </w:r>
          </w:p>
        </w:tc>
        <w:tc>
          <w:tcPr>
            <w:tcW w:type="dxa" w:w="3742"/>
            <w:tcMar>
              <w:top w:w="85" w:type="dxa"/>
              <w:left w:w="85" w:type="dxa"/>
              <w:bottom w:w="85" w:type="dxa"/>
              <w:right w:w="85" w:type="dxa"/>
            </w:tcMar>
          </w:tcPr>
          <w:p>
            <w:pPr>
              <w:spacing w:after="60"/>
            </w:pPr>
            <w:r>
              <w:rPr>
                <w:b w:val="0"/>
                <w:sz w:val="20"/>
              </w:rPr>
              <w:t>Grundrisse Erdgeschoss und erstes Obergeschoss</w:t>
            </w:r>
          </w:p>
        </w:tc>
        <w:tc>
          <w:tcPr>
            <w:tcW w:type="dxa" w:w="2381"/>
            <w:tcMar>
              <w:top w:w="85" w:type="dxa"/>
              <w:left w:w="85" w:type="dxa"/>
              <w:bottom w:w="85" w:type="dxa"/>
              <w:right w:w="85" w:type="dxa"/>
            </w:tcMar>
          </w:tcPr>
          <w:p>
            <w:pPr>
              <w:spacing w:after="60"/>
            </w:pPr>
            <w:r>
              <w:rPr>
                <w:b w:val="0"/>
                <w:sz w:val="20"/>
              </w:rPr>
              <w:t>19.03.2027, Türpräzisierungen 24.06.2027</w:t>
            </w:r>
          </w:p>
        </w:tc>
      </w:tr>
      <w:tr>
        <w:trPr>
          <w:cantSplit/>
        </w:trPr>
        <w:tc>
          <w:tcPr>
            <w:tcW w:type="dxa" w:w="1814"/>
            <w:tcMar>
              <w:top w:w="85" w:type="dxa"/>
              <w:left w:w="85" w:type="dxa"/>
              <w:bottom w:w="85" w:type="dxa"/>
              <w:right w:w="85" w:type="dxa"/>
            </w:tcMar>
          </w:tcPr>
          <w:p>
            <w:pPr>
              <w:spacing w:after="60"/>
            </w:pPr>
            <w:r>
              <w:rPr>
                <w:b w:val="0"/>
                <w:sz w:val="20"/>
              </w:rPr>
              <w:t>GP02</w:t>
            </w:r>
          </w:p>
        </w:tc>
        <w:tc>
          <w:tcPr>
            <w:tcW w:type="dxa" w:w="3742"/>
            <w:tcMar>
              <w:top w:w="85" w:type="dxa"/>
              <w:left w:w="85" w:type="dxa"/>
              <w:bottom w:w="85" w:type="dxa"/>
              <w:right w:w="85" w:type="dxa"/>
            </w:tcMar>
          </w:tcPr>
          <w:p>
            <w:pPr>
              <w:spacing w:after="60"/>
            </w:pPr>
            <w:r>
              <w:rPr>
                <w:b w:val="0"/>
                <w:sz w:val="20"/>
              </w:rPr>
              <w:t>Grundriss zweites Obergeschoss</w:t>
            </w:r>
          </w:p>
        </w:tc>
        <w:tc>
          <w:tcPr>
            <w:tcW w:type="dxa" w:w="2381"/>
            <w:tcMar>
              <w:top w:w="85" w:type="dxa"/>
              <w:left w:w="85" w:type="dxa"/>
              <w:bottom w:w="85" w:type="dxa"/>
              <w:right w:w="85" w:type="dxa"/>
            </w:tcMar>
          </w:tcPr>
          <w:p>
            <w:pPr>
              <w:spacing w:after="60"/>
            </w:pPr>
            <w:r>
              <w:rPr>
                <w:b w:val="0"/>
                <w:sz w:val="20"/>
              </w:rPr>
              <w:t>19.03.2027, Türpräzisierungen 24.06.2027</w:t>
            </w:r>
          </w:p>
        </w:tc>
      </w:tr>
      <w:tr>
        <w:trPr>
          <w:cantSplit/>
        </w:trPr>
        <w:tc>
          <w:tcPr>
            <w:tcW w:type="dxa" w:w="1814"/>
            <w:tcMar>
              <w:top w:w="85" w:type="dxa"/>
              <w:left w:w="85" w:type="dxa"/>
              <w:bottom w:w="85" w:type="dxa"/>
              <w:right w:w="85" w:type="dxa"/>
            </w:tcMar>
          </w:tcPr>
          <w:p>
            <w:pPr>
              <w:spacing w:after="60"/>
            </w:pPr>
            <w:r>
              <w:rPr>
                <w:b w:val="0"/>
                <w:sz w:val="20"/>
              </w:rPr>
              <w:t>SP01</w:t>
            </w:r>
          </w:p>
        </w:tc>
        <w:tc>
          <w:tcPr>
            <w:tcW w:type="dxa" w:w="3742"/>
            <w:tcMar>
              <w:top w:w="85" w:type="dxa"/>
              <w:left w:w="85" w:type="dxa"/>
              <w:bottom w:w="85" w:type="dxa"/>
              <w:right w:w="85" w:type="dxa"/>
            </w:tcMar>
          </w:tcPr>
          <w:p>
            <w:pPr>
              <w:spacing w:after="60"/>
            </w:pPr>
            <w:r>
              <w:rPr>
                <w:b w:val="0"/>
                <w:sz w:val="20"/>
              </w:rPr>
              <w:t>Schnitt und Ansichten</w:t>
            </w:r>
          </w:p>
        </w:tc>
        <w:tc>
          <w:tcPr>
            <w:tcW w:type="dxa" w:w="2381"/>
            <w:tcMar>
              <w:top w:w="85" w:type="dxa"/>
              <w:left w:w="85" w:type="dxa"/>
              <w:bottom w:w="85" w:type="dxa"/>
              <w:right w:w="85" w:type="dxa"/>
            </w:tcMar>
          </w:tcPr>
          <w:p>
            <w:pPr>
              <w:spacing w:after="60"/>
            </w:pPr>
            <w:r>
              <w:rPr>
                <w:b w:val="0"/>
                <w:sz w:val="20"/>
              </w:rPr>
              <w:t>19.03.2027</w:t>
            </w:r>
          </w:p>
        </w:tc>
      </w:tr>
      <w:tr>
        <w:trPr>
          <w:cantSplit/>
        </w:trPr>
        <w:tc>
          <w:tcPr>
            <w:tcW w:type="dxa" w:w="1814"/>
            <w:tcMar>
              <w:top w:w="85" w:type="dxa"/>
              <w:left w:w="85" w:type="dxa"/>
              <w:bottom w:w="85" w:type="dxa"/>
              <w:right w:w="85" w:type="dxa"/>
            </w:tcMar>
          </w:tcPr>
          <w:p>
            <w:pPr>
              <w:spacing w:after="60"/>
            </w:pPr>
            <w:r>
              <w:rPr>
                <w:b w:val="0"/>
                <w:sz w:val="20"/>
              </w:rPr>
              <w:t>BF01 Revision 1</w:t>
            </w:r>
          </w:p>
        </w:tc>
        <w:tc>
          <w:tcPr>
            <w:tcW w:type="dxa" w:w="3742"/>
            <w:tcMar>
              <w:top w:w="85" w:type="dxa"/>
              <w:left w:w="85" w:type="dxa"/>
              <w:bottom w:w="85" w:type="dxa"/>
              <w:right w:w="85" w:type="dxa"/>
            </w:tcMar>
          </w:tcPr>
          <w:p>
            <w:pPr>
              <w:spacing w:after="60"/>
            </w:pPr>
            <w:r>
              <w:rPr>
                <w:b w:val="0"/>
                <w:sz w:val="20"/>
              </w:rPr>
              <w:t>Barrierefreiheit Wohnung 01 und Aufzug</w:t>
            </w:r>
          </w:p>
        </w:tc>
        <w:tc>
          <w:tcPr>
            <w:tcW w:type="dxa" w:w="2381"/>
            <w:tcMar>
              <w:top w:w="85" w:type="dxa"/>
              <w:left w:w="85" w:type="dxa"/>
              <w:bottom w:w="85" w:type="dxa"/>
              <w:right w:w="85" w:type="dxa"/>
            </w:tcMar>
          </w:tcPr>
          <w:p>
            <w:pPr>
              <w:spacing w:after="60"/>
            </w:pPr>
            <w:r>
              <w:rPr>
                <w:b w:val="0"/>
                <w:sz w:val="20"/>
              </w:rPr>
              <w:t>24.06.2027</w:t>
            </w:r>
          </w:p>
        </w:tc>
      </w:tr>
      <w:tr>
        <w:trPr>
          <w:cantSplit/>
        </w:trPr>
        <w:tc>
          <w:tcPr>
            <w:tcW w:type="dxa" w:w="1814"/>
            <w:tcMar>
              <w:top w:w="85" w:type="dxa"/>
              <w:left w:w="85" w:type="dxa"/>
              <w:bottom w:w="85" w:type="dxa"/>
              <w:right w:w="85" w:type="dxa"/>
            </w:tcMar>
          </w:tcPr>
          <w:p>
            <w:pPr>
              <w:spacing w:after="60"/>
            </w:pPr>
            <w:r>
              <w:rPr>
                <w:b w:val="0"/>
                <w:sz w:val="20"/>
              </w:rPr>
              <w:t>TE01</w:t>
            </w:r>
          </w:p>
        </w:tc>
        <w:tc>
          <w:tcPr>
            <w:tcW w:type="dxa" w:w="3742"/>
            <w:tcMar>
              <w:top w:w="85" w:type="dxa"/>
              <w:left w:w="85" w:type="dxa"/>
              <w:bottom w:w="85" w:type="dxa"/>
              <w:right w:w="85" w:type="dxa"/>
            </w:tcMar>
          </w:tcPr>
          <w:p>
            <w:pPr>
              <w:spacing w:after="60"/>
            </w:pPr>
            <w:r>
              <w:rPr>
                <w:b w:val="0"/>
                <w:sz w:val="20"/>
              </w:rPr>
              <w:t>Dach und Entwässerung</w:t>
            </w:r>
          </w:p>
        </w:tc>
        <w:tc>
          <w:tcPr>
            <w:tcW w:type="dxa" w:w="2381"/>
            <w:tcMar>
              <w:top w:w="85" w:type="dxa"/>
              <w:left w:w="85" w:type="dxa"/>
              <w:bottom w:w="85" w:type="dxa"/>
              <w:right w:w="85" w:type="dxa"/>
            </w:tcMar>
          </w:tcPr>
          <w:p>
            <w:pPr>
              <w:spacing w:after="60"/>
            </w:pPr>
            <w:r>
              <w:rPr>
                <w:b w:val="0"/>
                <w:sz w:val="20"/>
              </w:rPr>
              <w:t>24.06.2027</w:t>
            </w:r>
          </w:p>
        </w:tc>
      </w:tr>
      <w:tr>
        <w:trPr>
          <w:cantSplit/>
        </w:trPr>
        <w:tc>
          <w:tcPr>
            <w:tcW w:type="dxa" w:w="1814"/>
            <w:tcMar>
              <w:top w:w="85" w:type="dxa"/>
              <w:left w:w="85" w:type="dxa"/>
              <w:bottom w:w="85" w:type="dxa"/>
              <w:right w:w="85" w:type="dxa"/>
            </w:tcMar>
          </w:tcPr>
          <w:p>
            <w:pPr>
              <w:spacing w:after="60"/>
            </w:pPr>
            <w:r>
              <w:rPr>
                <w:b w:val="0"/>
                <w:sz w:val="20"/>
              </w:rPr>
              <w:t>AP02 und AP03</w:t>
            </w:r>
          </w:p>
        </w:tc>
        <w:tc>
          <w:tcPr>
            <w:tcW w:type="dxa" w:w="3742"/>
            <w:tcMar>
              <w:top w:w="85" w:type="dxa"/>
              <w:left w:w="85" w:type="dxa"/>
              <w:bottom w:w="85" w:type="dxa"/>
              <w:right w:w="85" w:type="dxa"/>
            </w:tcMar>
          </w:tcPr>
          <w:p>
            <w:pPr>
              <w:spacing w:after="60"/>
            </w:pPr>
            <w:r>
              <w:rPr>
                <w:b w:val="0"/>
                <w:sz w:val="20"/>
              </w:rPr>
              <w:t>Schwelle und Deckendurchbruch</w:t>
            </w:r>
          </w:p>
        </w:tc>
        <w:tc>
          <w:tcPr>
            <w:tcW w:type="dxa" w:w="2381"/>
            <w:tcMar>
              <w:top w:w="85" w:type="dxa"/>
              <w:left w:w="85" w:type="dxa"/>
              <w:bottom w:w="85" w:type="dxa"/>
              <w:right w:w="85" w:type="dxa"/>
            </w:tcMar>
          </w:tcPr>
          <w:p>
            <w:pPr>
              <w:spacing w:after="60"/>
            </w:pPr>
            <w:r>
              <w:rPr>
                <w:b w:val="0"/>
                <w:sz w:val="20"/>
              </w:rPr>
              <w:t>21.08.2027</w:t>
            </w:r>
          </w:p>
        </w:tc>
      </w:tr>
      <w:tr>
        <w:trPr>
          <w:cantSplit/>
        </w:trPr>
        <w:tc>
          <w:tcPr>
            <w:tcW w:type="dxa" w:w="1814"/>
            <w:tcMar>
              <w:top w:w="85" w:type="dxa"/>
              <w:left w:w="85" w:type="dxa"/>
              <w:bottom w:w="85" w:type="dxa"/>
              <w:right w:w="85" w:type="dxa"/>
            </w:tcMar>
          </w:tcPr>
          <w:p>
            <w:pPr>
              <w:spacing w:after="60"/>
            </w:pPr>
            <w:r>
              <w:rPr>
                <w:b w:val="0"/>
                <w:sz w:val="20"/>
              </w:rPr>
              <w:t>AP-OPTION-01</w:t>
            </w:r>
          </w:p>
        </w:tc>
        <w:tc>
          <w:tcPr>
            <w:tcW w:type="dxa" w:w="3742"/>
            <w:tcMar>
              <w:top w:w="85" w:type="dxa"/>
              <w:left w:w="85" w:type="dxa"/>
              <w:bottom w:w="85" w:type="dxa"/>
              <w:right w:w="85" w:type="dxa"/>
            </w:tcMar>
          </w:tcPr>
          <w:p>
            <w:pPr>
              <w:spacing w:after="60"/>
            </w:pPr>
            <w:r>
              <w:rPr>
                <w:b w:val="0"/>
                <w:sz w:val="20"/>
              </w:rPr>
              <w:t>Noch zu bescheinigender Aufteilungsplan mit Stellplatzzuordnung</w:t>
            </w:r>
          </w:p>
        </w:tc>
        <w:tc>
          <w:tcPr>
            <w:tcW w:type="dxa" w:w="2381"/>
            <w:tcMar>
              <w:top w:w="85" w:type="dxa"/>
              <w:left w:w="85" w:type="dxa"/>
              <w:bottom w:w="85" w:type="dxa"/>
              <w:right w:w="85" w:type="dxa"/>
            </w:tcMar>
          </w:tcPr>
          <w:p>
            <w:pPr>
              <w:spacing w:after="60"/>
            </w:pPr>
            <w:r>
              <w:rPr>
                <w:b w:val="0"/>
                <w:sz w:val="20"/>
              </w:rPr>
              <w:t>Vorbereitung 01.11.2027</w:t>
            </w:r>
          </w:p>
        </w:tc>
      </w:tr>
    </w:tbl>
    <w:p/>
    <w:p>
      <w:r>
        <w:t>Die tatsächlich beigefügten Pläne müssen genau diesen Ständen entsprechen. Für die endgültige Verkaufsurkunde sind die vorbereitete Aufteilung, die technisch geprüften Zusatzanforderungen und die unverändert geschuldeten Merkmale gemeinsam freizugeben. Die Verkäuferin darf durch spätere Planrevisionen keine schon vereinbarte Beschaffenheit ohne wirksame Änderungsgrundlage verdrängen.</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SW-HI-26-08 · Wohnhof Am Steinbogen in Hildesheim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Baubeschreibung BT-BB-01 · Einzelverkaufsoption</dc:title>
  <dc:subject/>
  <dc:creator>Klotzkette</dc:creator>
  <cp:keywords/>
  <dc:description>generated by python-docx</dc:description>
  <cp:lastModifiedBy>Klotzkette</cp:lastModifiedBy>
  <cp:revision>1</cp:revision>
  <dcterms:created xsi:type="dcterms:W3CDTF">2027-11-01T00:00:00Z</dcterms:created>
  <dcterms:modified xsi:type="dcterms:W3CDTF">2027-11-01T00:00:00Z</dcterms:modified>
  <cp:category/>
  <dc:language>de-DE</dc:language>
</cp:coreProperties>
</file>