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Bemusterungs- und Sonderwunschordnung · BT-BM-01</w:t>
      </w:r>
    </w:p>
    <w:p>
      <w:r>
        <w:t>Stand 1. November 2027 · Option Einzelverkauf · Entwurf zur Abstimmung</w:t>
      </w:r>
    </w:p>
    <w:p>
      <w:pPr>
        <w:pStyle w:val="Heading1"/>
      </w:pPr>
      <w:r>
        <w:t>1 Grundausstattung und Auswahlfenster</w:t>
      </w:r>
    </w:p>
    <w:p>
      <w:r>
        <w:t>Die Grundausstattung besteht aus weißer Sanitärkeramik, neutral hellen rechteckigen Fliesen im Bad, einem Eiche-Natur-Mehrschichtboden in Wohn- und Schlafräumen, weißen glatten Innentüren und einer weißen Schalterserie. Die Verkäuferin stellt vor Auswahl ein konkretes Bemusterungsblatt mit Hersteller, Produkt, Musterkennzeichen und technischen Eigenschaften zur Verfügung. Die Eigenschaften der vereinbarten Baubeschreibung bleiben verbindlich.</w:t>
      </w:r>
    </w:p>
    <w:p>
      <w:r>
        <w:t>Die Käuferseite erhält für eine angebotene kostenneutrale Auswahl mindestens vierzehn Kalendertage. Eine Erinnerung bezeichnet die noch ausstehende Entscheidung und räumt eine angemessene Nachfrist ein. Bleibt die Auswahl danach aus, wird die bereits konkret beschriebene Grundleistung ausgeführt. Schweigen beauftragt keinen kostenpflichtigen Zusatz.</w:t>
      </w:r>
    </w:p>
    <w:p>
      <w:pPr>
        <w:pStyle w:val="Heading1"/>
      </w:pPr>
      <w:r>
        <w:t>2 Sonderwunschangebot</w:t>
      </w:r>
    </w:p>
    <w:p>
      <w:r>
        <w:t>Das Sonderwunschangebot enthält die betreffende Wohnung, den Raum, die ursprüngliche Leistung, die gewünschte Ersatz- oder Zusatzleistung, den Bruttopreis, ersparte Grundleistungen, Auswirkungen auf technische Nachweise und den konkreten Terminplan. Die Verkäuferin weist einen nicht sicher kalkulierbaren Wunsch zunächst zur Klärung zurück, statt ihn unbestimmt anzunehmen.</w:t>
      </w:r>
    </w:p>
    <w:p>
      <w:r>
        <w:t>Die Käuferseite beauftragt erst auf Grundlage des vollständigen Angebots. Die gesetzlich erforderliche Form ist vor Ausführung mit dem Notariat zu prüfen. Planungs- oder Prüfaufwand ohne spätere Ausführung ist nur vergütungspflichtig, wenn dies zuvor gesondert vereinbart wurde. Zahlungen dürfen die MaBV-Sicherungen nicht durch eine Nebenrechnung umgehen.</w:t>
      </w:r>
    </w:p>
    <w:p>
      <w:pPr>
        <w:pStyle w:val="Heading1"/>
      </w:pPr>
      <w:r>
        <w:t>3 Technische Grenzen und Freigabe</w:t>
      </w:r>
    </w:p>
    <w:p>
      <w:r>
        <w:t>Änderungen an tragenden Bauteilen, gemeinschaftlichen Anlagen, Rettungswegen, Abdichtungen, barrierefreien Flächen und Fassaden werden nur nach fachlicher Prüfung und den erforderlichen Genehmigungen ausgeführt. Eine Unterzeichnung des Bemusterungsblatts ersetzt diese Prüfungen nicht. Verschobene Leistungen werden im Planregister und in der Schnittstellenliste nachvollziehbar fortgeführt.</w:t>
      </w:r>
    </w:p>
    <w:p>
      <w:pPr>
        <w:pStyle w:val="Heading1"/>
      </w:pPr>
      <w:r>
        <w:t>4 Feststellung bei Übergabe</w:t>
      </w:r>
    </w:p>
    <w:p>
      <w:r>
        <w:t>Die gewählte Ausstattung wird wohnungsbezogen mit Produktbezeichnung und Freigabestand in die Übergabeunterlagen übernommen. Eine Materialauswahl erklärt keine Abnahme der späteren Einbauleistung. Reklamationen werden anhand des tatsächlich vereinbarten Produkts und der Ausführung geprüft.</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SW-HI-26-08 · Wohnhof Am Steinbogen in Hildesheim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Bemusterungs- und Sonderwunschordnung · BT-BM-01</dc:title>
  <dc:subject/>
  <dc:creator>Klotzkette</dc:creator>
  <cp:keywords/>
  <dc:description>generated by python-docx</dc:description>
  <cp:lastModifiedBy>Klotzkette</cp:lastModifiedBy>
  <cp:revision>1</cp:revision>
  <dcterms:created xsi:type="dcterms:W3CDTF">2027-11-01T00:00:00Z</dcterms:created>
  <dcterms:modified xsi:type="dcterms:W3CDTF">2027-11-01T00:00:00Z</dcterms:modified>
  <cp:category/>
  <dc:language>de-DE</dc:language>
</cp:coreProperties>
</file>