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Zahlungs- und Sicherungsplan · WE01</w:t>
      </w:r>
    </w:p>
    <w:p>
      <w:r>
        <w:t>Stand 1. November 2027 · Option Einzelverkauf · Entwurf zur Abstimmung</w:t>
      </w:r>
    </w:p>
    <w:p>
      <w:r>
        <w:t>Dieser Plan ist eine Vertragsanlage und keine Rechnung, Fälligkeitsmitteilung oder Zahlungsfreigabe. Solange die Verkaufsoption nicht wirksam aktiviert und beurkundet ist, entsteht daraus kein Zahlungsanspruch.</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94"/>
        <w:gridCol w:w="4649"/>
        <w:gridCol w:w="907"/>
        <w:gridCol w:w="1814"/>
      </w:tblGrid>
      <w:tr>
        <w:trPr>
          <w:cantSplit/>
          <w:tblHeader/>
        </w:trPr>
        <w:tc>
          <w:tcPr>
            <w:tcW w:type="dxa" w:w="794"/>
            <w:tcMar>
              <w:top w:w="85" w:type="dxa"/>
              <w:left w:w="85" w:type="dxa"/>
              <w:bottom w:w="85" w:type="dxa"/>
              <w:right w:w="85" w:type="dxa"/>
            </w:tcMar>
            <w:shd w:fill="E8EDF0"/>
          </w:tcPr>
          <w:p>
            <w:pPr>
              <w:spacing w:after="60"/>
            </w:pPr>
            <w:r>
              <w:rPr>
                <w:b/>
                <w:sz w:val="20"/>
              </w:rPr>
              <w:t>Rate</w:t>
            </w:r>
          </w:p>
        </w:tc>
        <w:tc>
          <w:tcPr>
            <w:tcW w:type="dxa" w:w="4649"/>
            <w:tcMar>
              <w:top w:w="85" w:type="dxa"/>
              <w:left w:w="85" w:type="dxa"/>
              <w:bottom w:w="85" w:type="dxa"/>
              <w:right w:w="85" w:type="dxa"/>
            </w:tcMar>
            <w:shd w:fill="E8EDF0"/>
          </w:tcPr>
          <w:p>
            <w:pPr>
              <w:spacing w:after="60"/>
            </w:pPr>
            <w:r>
              <w:rPr>
                <w:b/>
                <w:sz w:val="20"/>
              </w:rPr>
              <w:t>Voraussetzung</w:t>
            </w:r>
          </w:p>
        </w:tc>
        <w:tc>
          <w:tcPr>
            <w:tcW w:type="dxa" w:w="907"/>
            <w:tcMar>
              <w:top w:w="85" w:type="dxa"/>
              <w:left w:w="85" w:type="dxa"/>
              <w:bottom w:w="85" w:type="dxa"/>
              <w:right w:w="85" w:type="dxa"/>
            </w:tcMar>
            <w:shd w:fill="E8EDF0"/>
          </w:tcPr>
          <w:p>
            <w:pPr>
              <w:spacing w:after="60"/>
            </w:pPr>
            <w:r>
              <w:rPr>
                <w:b/>
                <w:sz w:val="20"/>
              </w:rPr>
              <w:t>Anteil</w:t>
            </w:r>
          </w:p>
        </w:tc>
        <w:tc>
          <w:tcPr>
            <w:tcW w:type="dxa" w:w="1814"/>
            <w:tcMar>
              <w:top w:w="85" w:type="dxa"/>
              <w:left w:w="85" w:type="dxa"/>
              <w:bottom w:w="85" w:type="dxa"/>
              <w:right w:w="85" w:type="dxa"/>
            </w:tcMar>
            <w:shd w:fill="E8EDF0"/>
          </w:tcPr>
          <w:p>
            <w:pPr>
              <w:spacing w:after="60"/>
            </w:pPr>
            <w:r>
              <w:rPr>
                <w:b/>
                <w:sz w:val="20"/>
              </w:rPr>
              <w:t>Betrag EUR</w:t>
            </w:r>
          </w:p>
        </w:tc>
      </w:tr>
      <w:tr>
        <w:trPr>
          <w:cantSplit/>
        </w:trPr>
        <w:tc>
          <w:tcPr>
            <w:tcW w:type="dxa" w:w="794"/>
            <w:tcMar>
              <w:top w:w="85" w:type="dxa"/>
              <w:left w:w="85" w:type="dxa"/>
              <w:bottom w:w="85" w:type="dxa"/>
              <w:right w:w="85" w:type="dxa"/>
            </w:tcMar>
          </w:tcPr>
          <w:p>
            <w:pPr>
              <w:spacing w:after="60"/>
            </w:pPr>
            <w:r>
              <w:rPr>
                <w:b w:val="0"/>
                <w:sz w:val="20"/>
              </w:rPr>
              <w:t>1</w:t>
            </w:r>
          </w:p>
        </w:tc>
        <w:tc>
          <w:tcPr>
            <w:tcW w:type="dxa" w:w="4649"/>
            <w:tcMar>
              <w:top w:w="85" w:type="dxa"/>
              <w:left w:w="85" w:type="dxa"/>
              <w:bottom w:w="85" w:type="dxa"/>
              <w:right w:w="85" w:type="dxa"/>
            </w:tcMar>
          </w:tcPr>
          <w:p>
            <w:pPr>
              <w:spacing w:after="60"/>
            </w:pPr>
            <w:r>
              <w:rPr>
                <w:b w:val="0"/>
                <w:sz w:val="20"/>
              </w:rPr>
              <w:t>Beginn der Erdarbeiten</w:t>
            </w:r>
          </w:p>
        </w:tc>
        <w:tc>
          <w:tcPr>
            <w:tcW w:type="dxa" w:w="907"/>
            <w:tcMar>
              <w:top w:w="85" w:type="dxa"/>
              <w:left w:w="85" w:type="dxa"/>
              <w:bottom w:w="85" w:type="dxa"/>
              <w:right w:w="85" w:type="dxa"/>
            </w:tcMar>
          </w:tcPr>
          <w:p>
            <w:pPr>
              <w:spacing w:after="60"/>
            </w:pPr>
            <w:r>
              <w:rPr>
                <w:b w:val="0"/>
                <w:sz w:val="20"/>
              </w:rPr>
              <w:t>30 %</w:t>
            </w:r>
          </w:p>
        </w:tc>
        <w:tc>
          <w:tcPr>
            <w:tcW w:type="dxa" w:w="1814"/>
            <w:tcMar>
              <w:top w:w="85" w:type="dxa"/>
              <w:left w:w="85" w:type="dxa"/>
              <w:bottom w:w="85" w:type="dxa"/>
              <w:right w:w="85" w:type="dxa"/>
            </w:tcMar>
          </w:tcPr>
          <w:p>
            <w:pPr>
              <w:spacing w:after="60"/>
            </w:pPr>
            <w:r>
              <w:rPr>
                <w:b w:val="0"/>
                <w:sz w:val="20"/>
              </w:rPr>
              <w:t>122.700,00</w:t>
            </w:r>
          </w:p>
        </w:tc>
      </w:tr>
      <w:tr>
        <w:trPr>
          <w:cantSplit/>
        </w:trPr>
        <w:tc>
          <w:tcPr>
            <w:tcW w:type="dxa" w:w="794"/>
            <w:tcMar>
              <w:top w:w="85" w:type="dxa"/>
              <w:left w:w="85" w:type="dxa"/>
              <w:bottom w:w="85" w:type="dxa"/>
              <w:right w:w="85" w:type="dxa"/>
            </w:tcMar>
          </w:tcPr>
          <w:p>
            <w:pPr>
              <w:spacing w:after="60"/>
            </w:pPr>
            <w:r>
              <w:rPr>
                <w:b w:val="0"/>
                <w:sz w:val="20"/>
              </w:rPr>
              <w:t>2</w:t>
            </w:r>
          </w:p>
        </w:tc>
        <w:tc>
          <w:tcPr>
            <w:tcW w:type="dxa" w:w="4649"/>
            <w:tcMar>
              <w:top w:w="85" w:type="dxa"/>
              <w:left w:w="85" w:type="dxa"/>
              <w:bottom w:w="85" w:type="dxa"/>
              <w:right w:w="85" w:type="dxa"/>
            </w:tcMar>
          </w:tcPr>
          <w:p>
            <w:pPr>
              <w:spacing w:after="60"/>
            </w:pPr>
            <w:r>
              <w:rPr>
                <w:b w:val="0"/>
                <w:sz w:val="20"/>
              </w:rPr>
              <w:t>Fertigstellung des Rohbaus einschließlich Zimmererarbeiten</w:t>
            </w:r>
          </w:p>
        </w:tc>
        <w:tc>
          <w:tcPr>
            <w:tcW w:type="dxa" w:w="907"/>
            <w:tcMar>
              <w:top w:w="85" w:type="dxa"/>
              <w:left w:w="85" w:type="dxa"/>
              <w:bottom w:w="85" w:type="dxa"/>
              <w:right w:w="85" w:type="dxa"/>
            </w:tcMar>
          </w:tcPr>
          <w:p>
            <w:pPr>
              <w:spacing w:after="60"/>
            </w:pPr>
            <w:r>
              <w:rPr>
                <w:b w:val="0"/>
                <w:sz w:val="20"/>
              </w:rPr>
              <w:t>28 %</w:t>
            </w:r>
          </w:p>
        </w:tc>
        <w:tc>
          <w:tcPr>
            <w:tcW w:type="dxa" w:w="1814"/>
            <w:tcMar>
              <w:top w:w="85" w:type="dxa"/>
              <w:left w:w="85" w:type="dxa"/>
              <w:bottom w:w="85" w:type="dxa"/>
              <w:right w:w="85" w:type="dxa"/>
            </w:tcMar>
          </w:tcPr>
          <w:p>
            <w:pPr>
              <w:spacing w:after="60"/>
            </w:pPr>
            <w:r>
              <w:rPr>
                <w:b w:val="0"/>
                <w:sz w:val="20"/>
              </w:rPr>
              <w:t>114.520,00</w:t>
            </w:r>
          </w:p>
        </w:tc>
      </w:tr>
      <w:tr>
        <w:trPr>
          <w:cantSplit/>
        </w:trPr>
        <w:tc>
          <w:tcPr>
            <w:tcW w:type="dxa" w:w="794"/>
            <w:tcMar>
              <w:top w:w="85" w:type="dxa"/>
              <w:left w:w="85" w:type="dxa"/>
              <w:bottom w:w="85" w:type="dxa"/>
              <w:right w:w="85" w:type="dxa"/>
            </w:tcMar>
          </w:tcPr>
          <w:p>
            <w:pPr>
              <w:spacing w:after="60"/>
            </w:pPr>
            <w:r>
              <w:rPr>
                <w:b w:val="0"/>
                <w:sz w:val="20"/>
              </w:rPr>
              <w:t>3</w:t>
            </w:r>
          </w:p>
        </w:tc>
        <w:tc>
          <w:tcPr>
            <w:tcW w:type="dxa" w:w="4649"/>
            <w:tcMar>
              <w:top w:w="85" w:type="dxa"/>
              <w:left w:w="85" w:type="dxa"/>
              <w:bottom w:w="85" w:type="dxa"/>
              <w:right w:w="85" w:type="dxa"/>
            </w:tcMar>
          </w:tcPr>
          <w:p>
            <w:pPr>
              <w:spacing w:after="60"/>
            </w:pPr>
            <w:r>
              <w:rPr>
                <w:b w:val="0"/>
                <w:sz w:val="20"/>
              </w:rPr>
              <w:t>Herstellung der Dachflächen und Dachrinnen sowie Fenstereinbau einschließlich Verglasung</w:t>
            </w:r>
          </w:p>
        </w:tc>
        <w:tc>
          <w:tcPr>
            <w:tcW w:type="dxa" w:w="907"/>
            <w:tcMar>
              <w:top w:w="85" w:type="dxa"/>
              <w:left w:w="85" w:type="dxa"/>
              <w:bottom w:w="85" w:type="dxa"/>
              <w:right w:w="85" w:type="dxa"/>
            </w:tcMar>
          </w:tcPr>
          <w:p>
            <w:pPr>
              <w:spacing w:after="60"/>
            </w:pPr>
            <w:r>
              <w:rPr>
                <w:b w:val="0"/>
                <w:sz w:val="20"/>
              </w:rPr>
              <w:t>12,6 %</w:t>
            </w:r>
          </w:p>
        </w:tc>
        <w:tc>
          <w:tcPr>
            <w:tcW w:type="dxa" w:w="1814"/>
            <w:tcMar>
              <w:top w:w="85" w:type="dxa"/>
              <w:left w:w="85" w:type="dxa"/>
              <w:bottom w:w="85" w:type="dxa"/>
              <w:right w:w="85" w:type="dxa"/>
            </w:tcMar>
          </w:tcPr>
          <w:p>
            <w:pPr>
              <w:spacing w:after="60"/>
            </w:pPr>
            <w:r>
              <w:rPr>
                <w:b w:val="0"/>
                <w:sz w:val="20"/>
              </w:rPr>
              <w:t>51.534,00</w:t>
            </w:r>
          </w:p>
        </w:tc>
      </w:tr>
      <w:tr>
        <w:trPr>
          <w:cantSplit/>
        </w:trPr>
        <w:tc>
          <w:tcPr>
            <w:tcW w:type="dxa" w:w="794"/>
            <w:tcMar>
              <w:top w:w="85" w:type="dxa"/>
              <w:left w:w="85" w:type="dxa"/>
              <w:bottom w:w="85" w:type="dxa"/>
              <w:right w:w="85" w:type="dxa"/>
            </w:tcMar>
          </w:tcPr>
          <w:p>
            <w:pPr>
              <w:spacing w:after="60"/>
            </w:pPr>
            <w:r>
              <w:rPr>
                <w:b w:val="0"/>
                <w:sz w:val="20"/>
              </w:rPr>
              <w:t>4</w:t>
            </w:r>
          </w:p>
        </w:tc>
        <w:tc>
          <w:tcPr>
            <w:tcW w:type="dxa" w:w="4649"/>
            <w:tcMar>
              <w:top w:w="85" w:type="dxa"/>
              <w:left w:w="85" w:type="dxa"/>
              <w:bottom w:w="85" w:type="dxa"/>
              <w:right w:w="85" w:type="dxa"/>
            </w:tcMar>
          </w:tcPr>
          <w:p>
            <w:pPr>
              <w:spacing w:after="60"/>
            </w:pPr>
            <w:r>
              <w:rPr>
                <w:b w:val="0"/>
                <w:sz w:val="20"/>
              </w:rPr>
              <w:t>Vollständige Rohinstallation von Heizung, Sanitär und Elektro</w:t>
            </w:r>
          </w:p>
        </w:tc>
        <w:tc>
          <w:tcPr>
            <w:tcW w:type="dxa" w:w="907"/>
            <w:tcMar>
              <w:top w:w="85" w:type="dxa"/>
              <w:left w:w="85" w:type="dxa"/>
              <w:bottom w:w="85" w:type="dxa"/>
              <w:right w:w="85" w:type="dxa"/>
            </w:tcMar>
          </w:tcPr>
          <w:p>
            <w:pPr>
              <w:spacing w:after="60"/>
            </w:pPr>
            <w:r>
              <w:rPr>
                <w:b w:val="0"/>
                <w:sz w:val="20"/>
              </w:rPr>
              <w:t>6,3 %</w:t>
            </w:r>
          </w:p>
        </w:tc>
        <w:tc>
          <w:tcPr>
            <w:tcW w:type="dxa" w:w="1814"/>
            <w:tcMar>
              <w:top w:w="85" w:type="dxa"/>
              <w:left w:w="85" w:type="dxa"/>
              <w:bottom w:w="85" w:type="dxa"/>
              <w:right w:w="85" w:type="dxa"/>
            </w:tcMar>
          </w:tcPr>
          <w:p>
            <w:pPr>
              <w:spacing w:after="60"/>
            </w:pPr>
            <w:r>
              <w:rPr>
                <w:b w:val="0"/>
                <w:sz w:val="20"/>
              </w:rPr>
              <w:t>25.767,00</w:t>
            </w:r>
          </w:p>
        </w:tc>
      </w:tr>
      <w:tr>
        <w:trPr>
          <w:cantSplit/>
        </w:trPr>
        <w:tc>
          <w:tcPr>
            <w:tcW w:type="dxa" w:w="794"/>
            <w:tcMar>
              <w:top w:w="85" w:type="dxa"/>
              <w:left w:w="85" w:type="dxa"/>
              <w:bottom w:w="85" w:type="dxa"/>
              <w:right w:w="85" w:type="dxa"/>
            </w:tcMar>
          </w:tcPr>
          <w:p>
            <w:pPr>
              <w:spacing w:after="60"/>
            </w:pPr>
            <w:r>
              <w:rPr>
                <w:b w:val="0"/>
                <w:sz w:val="20"/>
              </w:rPr>
              <w:t>5</w:t>
            </w:r>
          </w:p>
        </w:tc>
        <w:tc>
          <w:tcPr>
            <w:tcW w:type="dxa" w:w="4649"/>
            <w:tcMar>
              <w:top w:w="85" w:type="dxa"/>
              <w:left w:w="85" w:type="dxa"/>
              <w:bottom w:w="85" w:type="dxa"/>
              <w:right w:w="85" w:type="dxa"/>
            </w:tcMar>
          </w:tcPr>
          <w:p>
            <w:pPr>
              <w:spacing w:after="60"/>
            </w:pPr>
            <w:r>
              <w:rPr>
                <w:b w:val="0"/>
                <w:sz w:val="20"/>
              </w:rPr>
              <w:t>Innenputz ohne Beiputzarbeiten, Estrich und Fassadenarbeiten</w:t>
            </w:r>
          </w:p>
        </w:tc>
        <w:tc>
          <w:tcPr>
            <w:tcW w:type="dxa" w:w="907"/>
            <w:tcMar>
              <w:top w:w="85" w:type="dxa"/>
              <w:left w:w="85" w:type="dxa"/>
              <w:bottom w:w="85" w:type="dxa"/>
              <w:right w:w="85" w:type="dxa"/>
            </w:tcMar>
          </w:tcPr>
          <w:p>
            <w:pPr>
              <w:spacing w:after="60"/>
            </w:pPr>
            <w:r>
              <w:rPr>
                <w:b w:val="0"/>
                <w:sz w:val="20"/>
              </w:rPr>
              <w:t>8,4 %</w:t>
            </w:r>
          </w:p>
        </w:tc>
        <w:tc>
          <w:tcPr>
            <w:tcW w:type="dxa" w:w="1814"/>
            <w:tcMar>
              <w:top w:w="85" w:type="dxa"/>
              <w:left w:w="85" w:type="dxa"/>
              <w:bottom w:w="85" w:type="dxa"/>
              <w:right w:w="85" w:type="dxa"/>
            </w:tcMar>
          </w:tcPr>
          <w:p>
            <w:pPr>
              <w:spacing w:after="60"/>
            </w:pPr>
            <w:r>
              <w:rPr>
                <w:b w:val="0"/>
                <w:sz w:val="20"/>
              </w:rPr>
              <w:t>34.356,00</w:t>
            </w:r>
          </w:p>
        </w:tc>
      </w:tr>
      <w:tr>
        <w:trPr>
          <w:cantSplit/>
        </w:trPr>
        <w:tc>
          <w:tcPr>
            <w:tcW w:type="dxa" w:w="794"/>
            <w:tcMar>
              <w:top w:w="85" w:type="dxa"/>
              <w:left w:w="85" w:type="dxa"/>
              <w:bottom w:w="85" w:type="dxa"/>
              <w:right w:w="85" w:type="dxa"/>
            </w:tcMar>
          </w:tcPr>
          <w:p>
            <w:pPr>
              <w:spacing w:after="60"/>
            </w:pPr>
            <w:r>
              <w:rPr>
                <w:b w:val="0"/>
                <w:sz w:val="20"/>
              </w:rPr>
              <w:t>6</w:t>
            </w:r>
          </w:p>
        </w:tc>
        <w:tc>
          <w:tcPr>
            <w:tcW w:type="dxa" w:w="4649"/>
            <w:tcMar>
              <w:top w:w="85" w:type="dxa"/>
              <w:left w:w="85" w:type="dxa"/>
              <w:bottom w:w="85" w:type="dxa"/>
              <w:right w:w="85" w:type="dxa"/>
            </w:tcMar>
          </w:tcPr>
          <w:p>
            <w:pPr>
              <w:spacing w:after="60"/>
            </w:pPr>
            <w:r>
              <w:rPr>
                <w:b w:val="0"/>
                <w:sz w:val="20"/>
              </w:rPr>
              <w:t>Fliesenarbeiten im Sanitärbereich und Bezugsfertigkeit, Zug um Zug gegen Besitzübergabe</w:t>
            </w:r>
          </w:p>
        </w:tc>
        <w:tc>
          <w:tcPr>
            <w:tcW w:type="dxa" w:w="907"/>
            <w:tcMar>
              <w:top w:w="85" w:type="dxa"/>
              <w:left w:w="85" w:type="dxa"/>
              <w:bottom w:w="85" w:type="dxa"/>
              <w:right w:w="85" w:type="dxa"/>
            </w:tcMar>
          </w:tcPr>
          <w:p>
            <w:pPr>
              <w:spacing w:after="60"/>
            </w:pPr>
            <w:r>
              <w:rPr>
                <w:b w:val="0"/>
                <w:sz w:val="20"/>
              </w:rPr>
              <w:t>11,2 %</w:t>
            </w:r>
          </w:p>
        </w:tc>
        <w:tc>
          <w:tcPr>
            <w:tcW w:type="dxa" w:w="1814"/>
            <w:tcMar>
              <w:top w:w="85" w:type="dxa"/>
              <w:left w:w="85" w:type="dxa"/>
              <w:bottom w:w="85" w:type="dxa"/>
              <w:right w:w="85" w:type="dxa"/>
            </w:tcMar>
          </w:tcPr>
          <w:p>
            <w:pPr>
              <w:spacing w:after="60"/>
            </w:pPr>
            <w:r>
              <w:rPr>
                <w:b w:val="0"/>
                <w:sz w:val="20"/>
              </w:rPr>
              <w:t>45.808,00</w:t>
            </w:r>
          </w:p>
        </w:tc>
      </w:tr>
      <w:tr>
        <w:trPr>
          <w:cantSplit/>
        </w:trPr>
        <w:tc>
          <w:tcPr>
            <w:tcW w:type="dxa" w:w="794"/>
            <w:tcMar>
              <w:top w:w="85" w:type="dxa"/>
              <w:left w:w="85" w:type="dxa"/>
              <w:bottom w:w="85" w:type="dxa"/>
              <w:right w:w="85" w:type="dxa"/>
            </w:tcMar>
          </w:tcPr>
          <w:p>
            <w:pPr>
              <w:spacing w:after="60"/>
            </w:pPr>
            <w:r>
              <w:rPr>
                <w:b w:val="0"/>
                <w:sz w:val="20"/>
              </w:rPr>
              <w:t>7</w:t>
            </w:r>
          </w:p>
        </w:tc>
        <w:tc>
          <w:tcPr>
            <w:tcW w:type="dxa" w:w="4649"/>
            <w:tcMar>
              <w:top w:w="85" w:type="dxa"/>
              <w:left w:w="85" w:type="dxa"/>
              <w:bottom w:w="85" w:type="dxa"/>
              <w:right w:w="85" w:type="dxa"/>
            </w:tcMar>
          </w:tcPr>
          <w:p>
            <w:pPr>
              <w:spacing w:after="60"/>
            </w:pPr>
            <w:r>
              <w:rPr>
                <w:b w:val="0"/>
                <w:sz w:val="20"/>
              </w:rPr>
              <w:t>Vollständige Fertigstellung einschließlich protokollierter Restleistungen und Mängelbeseitigung</w:t>
            </w:r>
          </w:p>
        </w:tc>
        <w:tc>
          <w:tcPr>
            <w:tcW w:type="dxa" w:w="907"/>
            <w:tcMar>
              <w:top w:w="85" w:type="dxa"/>
              <w:left w:w="85" w:type="dxa"/>
              <w:bottom w:w="85" w:type="dxa"/>
              <w:right w:w="85" w:type="dxa"/>
            </w:tcMar>
          </w:tcPr>
          <w:p>
            <w:pPr>
              <w:spacing w:after="60"/>
            </w:pPr>
            <w:r>
              <w:rPr>
                <w:b w:val="0"/>
                <w:sz w:val="20"/>
              </w:rPr>
              <w:t>3,5 %</w:t>
            </w:r>
          </w:p>
        </w:tc>
        <w:tc>
          <w:tcPr>
            <w:tcW w:type="dxa" w:w="1814"/>
            <w:tcMar>
              <w:top w:w="85" w:type="dxa"/>
              <w:left w:w="85" w:type="dxa"/>
              <w:bottom w:w="85" w:type="dxa"/>
              <w:right w:w="85" w:type="dxa"/>
            </w:tcMar>
          </w:tcPr>
          <w:p>
            <w:pPr>
              <w:spacing w:after="60"/>
            </w:pPr>
            <w:r>
              <w:rPr>
                <w:b w:val="0"/>
                <w:sz w:val="20"/>
              </w:rPr>
              <w:t>14.315,00</w:t>
            </w:r>
          </w:p>
        </w:tc>
      </w:tr>
    </w:tbl>
    <w:p/>
    <w:p>
      <w:pPr>
        <w:pStyle w:val="Heading1"/>
      </w:pPr>
      <w:r>
        <w:t>1 Berechnung der Bündel</w:t>
      </w:r>
    </w:p>
    <w:p>
      <w:r>
        <w:t>Rate 1: Grundstücksanteil und Beginn der Erdarbeiten.</w:t>
      </w:r>
    </w:p>
    <w:p>
      <w:r>
        <w:t>Rate 2: 40 Prozent der verbleibenden 70 Prozent.</w:t>
      </w:r>
    </w:p>
    <w:p>
      <w:r>
        <w:t>Rate 3: 8 und 10 Prozent der verbleibenden 70 Prozent; beide Leistungen müssen fertiggestellt sein.</w:t>
      </w:r>
    </w:p>
    <w:p>
      <w:r>
        <w:t>Rate 4: Je 3 Prozent der verbleibenden 70 Prozent; alle drei Rohinstallationen müssen fertiggestellt sein.</w:t>
      </w:r>
    </w:p>
    <w:p>
      <w:r>
        <w:t>Rate 5: 6, 3 und 3 Prozent der verbleibenden 70 Prozent; alle drei Leistungen müssen fertiggestellt sein.</w:t>
      </w:r>
    </w:p>
    <w:p>
      <w:r>
        <w:t>Rate 6: 4 und 12 Prozent der verbleibenden 70 Prozent; beide Voraussetzungen müssen vorliegen.</w:t>
      </w:r>
    </w:p>
    <w:p>
      <w:r>
        <w:t>Rate 7: 5 Prozent der verbleibenden 70 Prozent.</w:t>
      </w:r>
    </w:p>
    <w:p>
      <w:pPr>
        <w:pStyle w:val="Heading1"/>
      </w:pPr>
      <w:r>
        <w:t>2 Fertigstellungssicherheit</w:t>
      </w:r>
    </w:p>
    <w:p>
      <w:r>
        <w:t>Fünf Prozent Sicherheit entsprechen 20.450,00 EUR. Bei Einbehalt beträgt die erste Auszahlung statt 122.700,00 EUR höchstens 102.250,00 EUR. Der Einbehalt wird nicht ohne Wegfall seines Sicherungszwecks freigegeben. Ein geeigneter Garantieersatz, Mängeleinbehalte und die allgemeinen MaBV-Sicherungen sind getrennt zu prüfen.</w:t>
      </w:r>
    </w:p>
    <w:sectPr w:rsidR="00FC693F" w:rsidRPr="0006063C" w:rsidSect="00034616">
      <w:headerReference w:type="default" r:id="rId9"/>
      <w:footerReference w:type="default" r:id="rId10"/>
      <w:pgSz w:w="11906" w:h="16838"/>
      <w:pgMar w:top="1020" w:right="1020" w:bottom="1020"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SW-HI-26-08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SW-HI-26-08 · Wohnhof Am Steinbogen in Hildesheim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40" w:line="252"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40" w:line="252"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line="252" w:lineRule="auto"/>
      <w:outlineLvl w:val="0"/>
    </w:pPr>
    <w:rPr>
      <w:rFonts w:cstheme="majorBidi" w:ascii="Times New Roman" w:hAnsi="Times New Roman" w:eastAsia="Times New Roman" w:cs="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60" w:line="252"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60" w:line="252" w:lineRule="auto"/>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40" w:line="252" w:lineRule="auto"/>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40" w:line="252" w:lineRule="auto"/>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40" w:line="252" w:lineRule="auto"/>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40" w:line="252" w:lineRule="auto"/>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40" w:line="252" w:lineRule="auto"/>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40" w:line="252" w:lineRule="auto"/>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40" w:line="252"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52" w:lineRule="auto" w:before="20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52" w:lineRule="auto"/>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40" w:line="252" w:lineRule="auto"/>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40" w:line="252" w:lineRule="auto"/>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40" w:line="252"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40" w:line="252" w:lineRule="auto"/>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40" w:line="252" w:lineRule="auto"/>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40" w:line="252" w:lineRule="auto"/>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40" w:line="252" w:lineRule="auto"/>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40" w:line="252" w:lineRule="auto"/>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40" w:line="252" w:lineRule="auto"/>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40" w:line="252" w:lineRule="auto"/>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40" w:line="252" w:lineRule="auto"/>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40" w:line="252" w:lineRule="auto"/>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40" w:line="252" w:lineRule="auto"/>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40" w:line="252" w:lineRule="auto"/>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40" w:line="252" w:lineRule="auto"/>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40" w:line="252" w:lineRule="auto"/>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40" w:line="252" w:lineRule="auto"/>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40" w:line="252" w:lineRule="auto"/>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2" w:lineRule="auto" w:after="14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40" w:line="252" w:lineRule="auto"/>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40" w:line="252" w:lineRule="auto"/>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Zahlungs- und Sicherungsplan · WE01</dc:title>
  <dc:subject/>
  <dc:creator>Klotzkette</dc:creator>
  <cp:keywords/>
  <dc:description>generated by python-docx</dc:description>
  <cp:lastModifiedBy>Klotzkette</cp:lastModifiedBy>
  <cp:revision>1</cp:revision>
  <dcterms:created xsi:type="dcterms:W3CDTF">2027-11-01T00:00:00Z</dcterms:created>
  <dcterms:modified xsi:type="dcterms:W3CDTF">2027-11-01T00:00:00Z</dcterms:modified>
  <cp:category/>
  <dc:language>de-DE</dc:language>
</cp:coreProperties>
</file>