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Raum- und Zuordnungsliste · WE04</w:t>
      </w:r>
    </w:p>
    <w:p>
      <w:r>
        <w:t>Stand 1. November 2027 · Option Einzelverkauf · Entwurf zur Abstimmung</w:t>
      </w:r>
    </w:p>
    <w:p>
      <w:r>
        <w:t>Anlage zum Bauträgervertragsentwurf für Hans Becker. Diese Wohnung ist Bestandteil der noch nicht beschlossenen Verkaufsoption; sie wird dadurch nicht aus dem Hauptprojekt vermietet oder tatsächlich verkauft.</w:t>
      </w:r>
    </w:p>
    <w:p>
      <w:pPr>
        <w:pStyle w:val="Heading1"/>
      </w:pPr>
      <w:r>
        <w:t>1 Räume und Flächen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69"/>
        <w:gridCol w:w="2268"/>
      </w:tblGrid>
      <w:tr>
        <w:trPr>
          <w:cantSplit/>
          <w:tblHeader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  <w:shd w:fill="E8EDF0"/>
          </w:tcPr>
          <w:p>
            <w:pPr>
              <w:spacing w:after="60"/>
            </w:pPr>
            <w:r>
              <w:rPr>
                <w:b/>
                <w:sz w:val="20"/>
              </w:rPr>
              <w:t>Wohnfläche m²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Wohnen und Küche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26,00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Schlafen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14,00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Zimmer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10,00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Bad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7,00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Flur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8,00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Abstellraum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3,00</w:t>
            </w:r>
          </w:p>
        </w:tc>
      </w:tr>
      <w:tr>
        <w:trPr>
          <w:cantSplit/>
        </w:trPr>
        <w:tc>
          <w:tcPr>
            <w:tcW w:type="dxa" w:w="566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Summe</w:t>
            </w:r>
          </w:p>
        </w:tc>
        <w:tc>
          <w:tcPr>
            <w:tcW w:type="dxa" w:w="226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20"/>
              </w:rPr>
              <w:t>68,00</w:t>
            </w:r>
          </w:p>
        </w:tc>
      </w:tr>
    </w:tbl>
    <w:p/>
    <w:p>
      <w:r>
        <w:t>Die Wohnung liegt im ersten Obergeschoss, westlicher Gebäudeteil. Alle Räume liegen innerhalb der Wohnung; ein Kellerraum und ein Dachterrassenanteil sind nicht enthalten. Die Räume werden vollständig in der Wohnflächenberechnung angesetzt. Der Aufteilungsplan muss die genaue Abgrenzung und die nummerngleiche Zuordnung erkennen lassen.</w:t>
      </w:r>
    </w:p>
    <w:p>
      <w:pPr>
        <w:pStyle w:val="Heading1"/>
      </w:pPr>
      <w:r>
        <w:t>2 Rechtliche Zuordnung</w:t>
      </w:r>
    </w:p>
    <w:p>
      <w:r>
        <w:t>Miteigentumsanteil: 68/600. Zugeordnetes Sondernutzungsrecht: Stellplatz 04. Die Außen- und Technikflächen bleiben im Übrigen gemeinschaftlich. Gemeinschaftliche Bauteile innerhalb der Wohnung bleiben ungeachtet ihrer räumlichen Lage Gemeinschaftseigentum.</w:t>
      </w:r>
    </w:p>
    <w:p>
      <w:r>
        <w:t>Die Wohnung wird barrierefrei hergestellt. Die nur für Wohnung 01 zusätzlich vereinbarte rollstuhlgerechte Ausstattung ist für diese Wohnung nicht pauschal mitverkauft; die nutzbaren Türbreiten und Wegeketten aus dem gemeinsamen Konzept bleiben geschuldet.</w:t>
      </w:r>
    </w:p>
    <w:p>
      <w:pPr>
        <w:pStyle w:val="Heading1"/>
      </w:pPr>
      <w:r>
        <w:t>3 Kaufpreis und Ausstattung</w:t>
      </w:r>
    </w:p>
    <w:p>
      <w:r>
        <w:t>Der wohnungsbezogene Gesamtpreis einschließlich Stellplatzrecht beträgt 419.000,00 EUR. Enthaltene Grundausstattung und Auswahlmöglichkeiten folgen BT-BB-01 und BT-BM-01. Ein kostenpflichtiger Sonderwunsch ist für diese Wohnung noch nicht beauftragt. Vor Vertragsfreigabe sind Käuferdaten, Wohnungslage, Fläche, Planstand und Sondernutzungsnummer gemeinsam abzugleichen.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SW-HI-26-08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SW-HI-26-08 · Wohnhof Am Steinbogen in Hildesheim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 w:line="252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2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52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40" w:line="252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52" w:lineRule="auto" w:before="20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2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40" w:line="252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40" w:line="252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40" w:line="252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40" w:line="252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40" w:line="252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40" w:line="252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40" w:line="252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40" w:line="252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40" w:line="252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14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40" w:line="252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40" w:line="252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Raum- und Zuordnungsliste · WE04</dc:title>
  <dc:subject/>
  <dc:creator>Klotzkette</dc:creator>
  <cp:keywords/>
  <dc:description>generated by python-docx</dc:description>
  <cp:lastModifiedBy>Klotzkette</cp:lastModifiedBy>
  <cp:revision>1</cp:revision>
  <dcterms:created xsi:type="dcterms:W3CDTF">2027-11-01T00:00:00Z</dcterms:created>
  <dcterms:modified xsi:type="dcterms:W3CDTF">2027-11-01T00:00:00Z</dcterms:modified>
  <cp:category/>
  <dc:language>de-DE</dc:language>
</cp:coreProperties>
</file>