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WE05</w:t>
      </w:r>
    </w:p>
    <w:p>
      <w:r>
        <w:t>Stand 1. November 2027 · Option Einzelverkauf · Entwurf zur Abstimmung</w:t>
      </w:r>
    </w:p>
    <w:p>
      <w:r>
        <w:t>Anlage zum Bauträgervertragsentwurf für Karl Hoffmann und Hildegard Hoffmann.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29,00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12,00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75,00</w:t>
            </w:r>
          </w:p>
        </w:tc>
      </w:tr>
    </w:tbl>
    <w:p/>
    <w:p>
      <w:r>
        <w:t>Die Wohnung liegt im ersten Obergeschoss, mittlerer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75/600. Zugeordnetes Sondernutzungsrecht: Stellplatz 05. Die Außen- und Technikflächen bleiben im Übrigen gemeinschaftlich. Gemeinschaftliche Bauteile innerhalb der Wohnung bleiben ungeachtet ihrer räumlichen Lage Gemeinschaftseigentum.</w:t>
      </w:r>
    </w:p>
    <w:p>
      <w:r>
        <w:t>Die Wohnung wird barrierefrei hergestellt. Die nur für Wohnung 01 zusätzlich vereinbarte rollstuhlgerechte Ausstattung ist für diese Wohnung nicht pauschal mitverkauft; die nutzbaren Türbreiten und Wegeketten aus dem gemeinsamen Konzept bleiben geschuldet.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459.000,00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WE05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