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Entscheidungsvorlage</w:t>
      </w:r>
    </w:p>
    <w:p>
      <w:pPr>
        <w:pStyle w:val="Heading2"/>
      </w:pPr>
      <w:r>
        <w:rPr>
          <w:rFonts w:ascii="Times New Roman" w:hAnsi="Times New Roman"/>
        </w:rPr>
        <w:t>Gegenstand</w:t>
      </w:r>
    </w:p>
    <w:p>
      <w:pPr>
        <w:jc w:val="left"/>
      </w:pPr>
      <w:r>
        <w:t>Dieses Aktenstück führt die Unterlagen im Mandat Windmöller gegen Ofenhaus Backstein GmbH zu einer entscheidungsfähigen Prüfungsfassung zusammen. Gegenstand ist der wasserführende Holzofen Aquaflamm 8 kW, den die Mandantin Klara Windmöller auf das Angebot Nr. 25-1188 vom 14.10.2025 hin am 18.10.2025 für ihren Altbau in Lübeck bestellte und den der Monteur Hinnerk Brandt am 21.11.2025 einbaute. Die Akte ist fragmentarisch: Die Mängel-E-Mail vom 03.12.2025 ist knapp, das Montageprotokoll trägt eine unleserliche Unterschrift, und die Regressankündigung der Provinzial Nord nennt nur Prüfpunkte, ohne den rechtlichen Gedankengang auszuführen. Dieses Langgutachten schließt diese Lücken.</w:t>
      </w:r>
    </w:p>
    <w:p>
      <w:pPr>
        <w:pStyle w:val="Heading2"/>
      </w:pPr>
      <w:r>
        <w:rPr>
          <w:rFonts w:ascii="Times New Roman" w:hAnsi="Times New Roman"/>
        </w:rPr>
        <w:t>Prüfungsprogramm</w:t>
      </w:r>
    </w:p>
    <w:p>
      <w:pPr>
        <w:jc w:val="left"/>
      </w:pPr>
      <w:r>
        <w:t>Der Fall wird entlang folgender Themen bearbeitet: Vertragstyp des Geschäfts über Lieferung und Montage des Aquaflamm 8 kW (Kauf mit Montageverpflichtung oder Werkvertrag), Verantwortlichkeit in der Kette aus Ofenhaus Backstein GmbH und Monteur Brandt, Bürgschaft der Bankhaus Nordtor eG über höchstens 4.000 EUR, Aufwendungsersatz der Nachbarin Krumm für die Notmaßnahme vom 05.12.2025, Brandschaden vom 19.12.2025 nebst Deliktshaftung sowie Regress der Provinzial Nord. Für jedes Thema wird getrennt gefragt, ob es bereits entscheidungsreif ist, ob weitere Tatsachen fehlen oder ob zunächst nur ein Risikovermerk möglich ist.</w:t>
      </w:r>
    </w:p>
    <w:p>
      <w:pPr>
        <w:pStyle w:val="Heading3"/>
      </w:pPr>
      <w:r>
        <w:rPr>
          <w:rFonts w:ascii="Times New Roman" w:hAnsi="Times New Roman"/>
        </w:rPr>
        <w:t>1. Tatsachenbasis</w:t>
      </w:r>
    </w:p>
    <w:p>
      <w:pPr>
        <w:jc w:val="left"/>
      </w:pPr>
      <w:r>
        <w:t>Die Akte enthält mehrere Beweistypen. Verwertbar sind das Angebot Nr. 25-1188 vom 14.10.2025, die Bestell-E-Mail der Mandantin vom 18.10.2025 mit dem Zusatz, sie wolle im Winter 2025/26 sicher heizen können, die Bürgschaftsurkunde der Bankhaus Nordtor eG vom 20.10.2025, das Montageprotokoll vom 21.11.2025, die Mängel-E-Mail vom 03.12.2025 sowie die Belege der Nachbarin Krumm über 286 EUR, 49 EUR und 65 EUR. Nur eingeschränkt verwertbar sind die lediglich beschriebenen Fotos ohne gesicherte Metadaten, der Screenshot der Temperaturanzeige mit 51 Grad Vorlauf und die mündliche Schilderung des Probebetriebs von 17 Minuten. Deshalb ist jede rechtliche Schlussfolgerung in diesem Gutachten mit einem Beweistyp verknüpft.</w:t>
      </w:r>
    </w:p>
    <w:p>
      <w:pPr>
        <w:jc w:val="left"/>
      </w:pPr>
      <w:r>
        <w:t>Der wichtigste Fehler wäre, den Fall wegen des angekreuzten Abnahmefeldes im Montageprotokoll vom 21.11.2025 als geklärt anzusehen. Die Unterschrift ist unleserlich, und die Mandantin erklärt, sie habe nur unterschrieben, damit der Monteur endlich loskomme; eine Billigung des Werks als im Wesentlichen vertragsgemäß im Sinne des § 640 Abs. 1 BGB ist damit nicht belegt. Ebenso wenig trägt der Protokolleintrag, die Rauchentwicklung sei „leicht, normal bei Erstbrand“, eine Aussage über die Mangelfreiheit. Deshalb wird zunächst eine Beweismatrix geführt.</w:t>
      </w:r>
    </w:p>
    <w:p>
      <w:pPr>
        <w:pStyle w:val="Heading3"/>
      </w:pPr>
      <w:r>
        <w:rPr>
          <w:rFonts w:ascii="Times New Roman" w:hAnsi="Times New Roman"/>
        </w:rPr>
        <w:t>2. Rechtliche Hauptfrage</w:t>
      </w:r>
    </w:p>
    <w:p>
      <w:pPr>
        <w:jc w:val="left"/>
      </w:pPr>
      <w:r>
        <w:t>Die Hauptfrage ist nicht, ob die Mandantin den Ofen wirtschaftlich behalten möchte. Die Hauptfrage lautet, ob die Schlussrate von 3.400 EUR nach § 641 Abs. 1 BGB fällig ist, obwohl eine rechtliche Abnahme bestritten wird, ob die Mängelrechte aus §§ 634 ff. BGB wegen Rauch, Wasseraustritt und Minderleistung durchgreifen und ob die Bankhaus Nordtor eG der Inanspruchnahme durch Ofenhaus vom 12.01.2026 die Einreden aus §§ 768, 770 BGB entgegenhalten kann. Dafür sind Vertragstyp, Abnahme, Mängelanzeige, Fristsetzung, Beweislast und Rechtsfolge einzeln zu prüfen.</w:t>
      </w:r>
    </w:p>
    <w:p>
      <w:pPr>
        <w:jc w:val="left"/>
      </w:pPr>
      <w:r>
        <w:t>Bei der Prüfung darf die Bearbeitung nicht in eine bloße Checkliste abrutschen, weil die Teilfragen voneinander abhängen. Ohne Abnahme keine Fälligkeit der Schlussrate, ohne fällige Hauptschuld keine berechtigte Inanspruchnahme der Bürgschaft; zugleich würde eine wirksame Abnahme die Beweislast für die Mängel auf die Mandantin verlagern. Die AGB-Klausel, die die Gewährleistung auf Nachbesserung beschränkt und Rücktritt sowie Schadensersatz ausschließt, dürfte nach §§ 307, 309 Nr. 8 BGB unwirksam sein, darf aber im Außenschreiben nicht vorschnell als erledigt behandelt werden. Und die Zahlung von 300 EUR auf den nicht unterschriebenen Nachtrag vom 30.11.2025 kann schaden, wenn die Gegenseite sie als Vertragsannahme oder Anerkenntnis deutet.</w:t>
      </w:r>
    </w:p>
    <w:p>
      <w:pPr>
        <w:pStyle w:val="Heading3"/>
      </w:pPr>
      <w:r>
        <w:rPr>
          <w:rFonts w:ascii="Times New Roman" w:hAnsi="Times New Roman"/>
        </w:rPr>
        <w:t>3. Subsumtion nach Aktenstand</w:t>
      </w:r>
    </w:p>
    <w:p>
      <w:pPr>
        <w:jc w:val="left"/>
      </w:pPr>
      <w:r>
        <w:t>Nach dem derzeitigen Stand spricht vieles dafür, dass mindestens ein Mängelrecht besteht: Rauchgeruch im Treppenhaus, Wasseraustritt aus der Rücklaufleitung, ein Vorlauf von nur 51 Grad bei voller Befeuerung und der etwa 18 cm breite Rußkranz am Wanddurchbruch wurden bereits am 03.12.2025, also binnen zwei Wochen nach der Montage, angezeigt. Die stärkste Position ergibt sich aus den vor dem Konflikt entstandenen Unterlagen: Angebot, Bestell-E-Mail mit der Bedingung sicheren Heizens im Winter 2025/26 und Herstelleranleitung mit Mindestabstand von 40 cm und Manschettenpflicht. Schwächer sind Einschätzungen, die erst nach dem Brand vom 19.12.2025 formuliert wurden.</w:t>
      </w:r>
    </w:p>
    <w:p>
      <w:pPr>
        <w:jc w:val="left"/>
      </w:pPr>
      <w:r>
        <w:t>Die Bearbeitung muss deshalb drei Ebenen unterscheiden:</w:t>
      </w:r>
    </w:p>
    <w:p>
      <w:pPr>
        <w:pStyle w:val="ListBullet"/>
      </w:pPr>
      <w:r>
        <w:t>sichere Tatsachen: Angebot Nr. 25-1188 vom 14.10.2025, Bestellung vom 18.10.2025, Bürgschaftsurkunde vom 20.10.2025 über höchstens 4.000 EUR, Mängel-E-Mail vom 03.12.2025, Inanspruchnahmeschreiben der Ofenhaus Backstein GmbH an die Bank vom 12.01.2026;</w:t>
      </w:r>
    </w:p>
    <w:p>
      <w:pPr>
        <w:pStyle w:val="ListBullet"/>
      </w:pPr>
      <w:r>
        <w:t>plausible, aber offene Tatsachen: Ursache von Rauchentwicklung, Wasseraustritt und Brand, fachgerechte Montage der Brandschutzmanschette, tatsächliche Einhaltung des Mindestabstands von 40 cm, Inhalt der Einweisung beim Probebetrieb von 17 Minuten;</w:t>
      </w:r>
    </w:p>
    <w:p>
      <w:pPr>
        <w:pStyle w:val="ListBullet"/>
      </w:pPr>
      <w:r>
        <w:t>bloße Bewertungen: „leicht, normal bei Erstbrand“, „nach Augenschein dicht“, „eigenmächtig Panik gemacht“, „altes Schornsteinmauerwerk“.</w:t>
      </w:r>
    </w:p>
    <w:p>
      <w:pPr>
        <w:jc w:val="left"/>
      </w:pPr>
      <w:r>
        <w:t>Nur die erste Ebene darf ohne Einschränkung in das Antwortschreiben an die Ofenhaus Backstein GmbH. Die zweite Ebene wird als offener Prüfstand dargestellt und den Sachverständigenfragen zu Montage, Wanddurchbruch und Hydraulik zugewiesen. Die dritte Ebene gehört in die interne Risikodiskussion, nicht in die Einlassung gegenüber Ofenhaus, Bankhaus Nordtor eG oder Provinzial Nord.</w:t>
      </w:r>
    </w:p>
    <w:p>
      <w:pPr>
        <w:pStyle w:val="Heading3"/>
      </w:pPr>
      <w:r>
        <w:rPr>
          <w:rFonts w:ascii="Times New Roman" w:hAnsi="Times New Roman"/>
        </w:rPr>
        <w:t>4. Gegenposition</w:t>
      </w:r>
    </w:p>
    <w:p>
      <w:pPr>
        <w:jc w:val="left"/>
      </w:pPr>
      <w:r>
        <w:t>Die Ofenhaus Backstein GmbH wird voraussichtlich nicht nur einen Einzelfehler bestreiten, sondern die Verantwortung insgesamt von sich weisen: Die Mandantin habe die Leistung am 21.11.2025 abgenommen, die Symptome beruhten auf unsachgemäßem Betrieb und auf Eingriffen Dritter — gemeint ist die Notabschaltung durch die Nachbarin Krumm am 05.12.2025 —, und der Brand vom 19.12.2025 gehe auf das alte Schornsteinmauerwerk zurück. Zudem beruft sie sich auf ihre AGB, wonach die Montage durch selbstständige Fachpartner erfolgt und für Schäden an Bestandsleitungen nicht gehaftet wird.</w:t>
      </w:r>
    </w:p>
    <w:p>
      <w:pPr>
        <w:jc w:val="left"/>
      </w:pPr>
      <w:r>
        <w:t>Dagegen hilft keine schroffe Abwehrformel. Besser ist eine nüchterne Darstellung: Belegt sind die Mängelanzeige vom 03.12.2025 und die frühen Symptome vor jedem Fremdeingriff; geprüft wird die Brandursache durch Sachverständigenbeweis; bestritten wird eine rechtliche Abnahme; vorbehalten bleibt die Inhaltskontrolle der AGB-Haftungsausschlüsse nach §§ 305c, 307 BGB.</w:t>
      </w:r>
    </w:p>
    <w:p>
      <w:pPr>
        <w:pStyle w:val="Heading3"/>
      </w:pPr>
      <w:r>
        <w:rPr>
          <w:rFonts w:ascii="Times New Roman" w:hAnsi="Times New Roman"/>
        </w:rPr>
        <w:t>5. Handlungsempfehlung</w:t>
      </w:r>
    </w:p>
    <w:p>
      <w:pPr>
        <w:jc w:val="left"/>
      </w:pPr>
      <w:r>
        <w:t>Empfohlen wird folgender Ablauf:</w:t>
      </w:r>
    </w:p>
    <w:p>
      <w:pPr>
        <w:pStyle w:val="ListNumber"/>
      </w:pPr>
      <w:r>
        <w:t>Ofen, Rücklaufleitung und Wanddurchbruch unverändert lassen und den Zustand mit datierten Fotos sichern.</w:t>
      </w:r>
    </w:p>
    <w:p>
      <w:pPr>
        <w:pStyle w:val="ListNumber"/>
      </w:pPr>
      <w:r>
        <w:t>Fristenkalender führen: Bestätigungsfrist gegenüber Ofenhaus zum 26.05.2026, Verjährung der Mängelrechte nach § 634a BGB, Antwort auf die Unterlagenanforderung der Provinzial Nord vom 06.02.2026.</w:t>
      </w:r>
    </w:p>
    <w:p>
      <w:pPr>
        <w:pStyle w:val="ListNumber"/>
      </w:pPr>
      <w:r>
        <w:t>Das Antwortschreiben an Ofenhaus absenden: Zurückweisung der Schlussrate, Fristsetzung zur Nacherfüllung nach § 635 BGB, Aufforderung, die Bürgschaft der Bankhaus Nordtor eG nicht weiter zu ziehen.</w:t>
      </w:r>
    </w:p>
    <w:p>
      <w:pPr>
        <w:pStyle w:val="ListNumber"/>
      </w:pPr>
      <w:r>
        <w:t>Intern ein Langmemo mit Risikoampel zu Abnahme, AGB-Wirksamkeit, Bürgschaftseinreden, GoA-Kosten der Nachbarin Krumm und Deliktsregress führen.</w:t>
      </w:r>
    </w:p>
    <w:p>
      <w:pPr>
        <w:pStyle w:val="ListNumber"/>
      </w:pPr>
      <w:r>
        <w:t>Nach Eingang der vollständigen Herstelleranleitung, des Inbetriebnahmeblatts und der Schornsteinfegerunterlagen die endgültige Stellungnahme verfassen.</w:t>
      </w:r>
    </w:p>
    <w:p>
      <w:pPr>
        <w:pStyle w:val="ListNumber"/>
      </w:pPr>
      <w:r>
        <w:t>Gegenüber Bank, Versicherer und Ofenhaus nur zuvor freigegebene Tatsachen der ersten Ebene verwenden.</w:t>
      </w:r>
    </w:p>
    <w:p>
      <w:pPr>
        <w:pStyle w:val="Heading3"/>
      </w:pPr>
      <w:r>
        <w:rPr>
          <w:rFonts w:ascii="Times New Roman" w:hAnsi="Times New Roman"/>
        </w:rPr>
        <w:t>6. Entwurf einer Entscheidungsvorlage</w:t>
      </w:r>
    </w:p>
    <w:p>
      <w:pPr>
        <w:jc w:val="left"/>
      </w:pPr>
      <w:r>
        <w:t>Option A: bloße Zurückweisung der Schlussrate ohne Begründung in der Sache. Vorteil: geringe Selbstbindung, schnelle Fristwahrung. Nachteil: wirkt ausweichend, weil Ofenhaus die Bürgschaft bereits am 12.01.2026 in Anspruch genommen hat und die Bank konkrete Belege für die Einreden erwartet.</w:t>
      </w:r>
    </w:p>
    <w:p>
      <w:pPr>
        <w:jc w:val="left"/>
      </w:pPr>
      <w:r>
        <w:t>Option B: strukturierte Teiloffenlegung mit Mängelchronologie ab dem 03.12.2025, Fristsetzung zur Nacherfüllung und Aufforderung, die Bürgschaftsinanspruchnahme nicht weiterzuverfolgen. Vorteil: glaubwürdig gegenüber Bank und Versicherer, ohne die Position zur fehlenden Abnahme aufzugeben. Nachteil: erfordert saubere Abstimmung mit der Provinzial Nord wegen des Regressvorbehalts.</w:t>
      </w:r>
    </w:p>
    <w:p>
      <w:pPr>
        <w:jc w:val="left"/>
      </w:pPr>
      <w:r>
        <w:t>Option C: sofortige negative Feststellungsklage zum Landgericht Lübeck nebst einstweiligem Rechtsschutz gegen die Bürgschaftsinanspruchnahme. Vorteil: maximaler Druck auf Ofenhaus und Bank. Nachteil: hohes Kostenrisiko, solange die Brandursache nicht durch Sachverständigenbeweis gesichert ist.</w:t>
      </w:r>
    </w:p>
    <w:p>
      <w:pPr>
        <w:jc w:val="left"/>
      </w:pPr>
      <w:r>
        <w:t>Derzeit ist Option B vorzugswürdig. Sie erlaubt Kontrolle über die Darstellung gegenüber Bankhaus Nordtor eG und Provinzial Nord, vermeidet ein Anerkenntnis der Abnahme und zwingt die Akte vor einer Klage in eine belastbare Ordnung.</w:t>
      </w:r>
    </w:p>
    <w:p>
      <w:pPr>
        <w:pStyle w:val="Heading2"/>
      </w:pPr>
      <w:r>
        <w:rPr>
          <w:rFonts w:ascii="Times New Roman" w:hAnsi="Times New Roman"/>
        </w:rPr>
        <w:t>Offene Nachforderungen</w:t>
      </w:r>
    </w:p>
    <w:p>
      <w:pPr>
        <w:pStyle w:val="ListBullet"/>
      </w:pPr>
      <w:r>
        <w:t>vollständige Herstelleranleitung des Aquaflamm 8 kW einschließlich der Hydraulikschemata A und B;</w:t>
      </w:r>
    </w:p>
    <w:p>
      <w:pPr>
        <w:pStyle w:val="ListBullet"/>
      </w:pPr>
      <w:r>
        <w:t>unterschriebenes Inbetriebnahmeblatt nach Herstellerformular;</w:t>
      </w:r>
    </w:p>
    <w:p>
      <w:pPr>
        <w:pStyle w:val="ListBullet"/>
      </w:pPr>
      <w:r>
        <w:t>Original des Montageprotokolls vom 21.11.2025 zur Klärung der unleserlichen Unterschrift;</w:t>
      </w:r>
    </w:p>
    <w:p>
      <w:pPr>
        <w:pStyle w:val="ListBullet"/>
      </w:pPr>
      <w:r>
        <w:t>Nachweis, ob die Mandantin eine Bürgschaftsprovision gezahlt hat und ob die Bank in den Nachtrag vom 30.11.2025 einbezogen wurde;</w:t>
      </w:r>
    </w:p>
    <w:p>
      <w:pPr>
        <w:pStyle w:val="ListBullet"/>
      </w:pPr>
      <w:r>
        <w:t>Regulierungsabrechnung der Provinzial Nord über die vorläufig gezahlten 18.600 EUR;</w:t>
      </w:r>
    </w:p>
    <w:p>
      <w:pPr>
        <w:pStyle w:val="ListBullet"/>
      </w:pPr>
      <w:r>
        <w:t>Unterlagen des Bezirksschornsteinfegers zur erst nachträglichen Anzeige der Anlage;</w:t>
      </w:r>
    </w:p>
    <w:p>
      <w:pPr>
        <w:pStyle w:val="ListBullet"/>
      </w:pPr>
      <w:r>
        <w:t>Belege der Nachbarin Krumm über Schlüsseldienst (286 EUR), Installateur-Telefonpauschale (49 EUR) und Reinigung des Hausflurs (65 EUR).</w:t>
      </w:r>
    </w:p>
    <w:p>
      <w:pPr>
        <w:pStyle w:val="Heading2"/>
      </w:pPr>
      <w:r>
        <w:rPr>
          <w:rFonts w:ascii="Times New Roman" w:hAnsi="Times New Roman"/>
        </w:rPr>
        <w:t>Ergebnis</w:t>
      </w:r>
    </w:p>
    <w:p>
      <w:pPr>
        <w:jc w:val="left"/>
      </w:pPr>
      <w:r>
        <w:t>Die Akte ist bearbeitbar, aber noch nicht entscheidungsreif. Der juristisch richtige nächste Schritt ist das kontrollierte Antwortschreiben an die Ofenhaus Backstein GmbH nach Option B, verbunden mit der Information der Bankhaus Nordtor eG über die Einreden aus §§ 768, 770 BGB und einer strengen internen Beweisordnung. Erst nach dem Sachverständigengutachten zur Brandursache sollte über Klage oder einen Vergleich auf der Linie des vorliegenden Entwurfs (Nachbesserung bis 30.06.2026, Reduzierung der Schlussrate auf 1.450 EUR, Rückgabe der Bürgschaftsurkunde) entschieden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