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Vollgutachten: Holzofen, Lieferkette, Bürgschaft und GoA</w:t>
      </w:r>
    </w:p>
    <w:p>
      <w:pPr>
        <w:pStyle w:val="Heading2"/>
      </w:pPr>
      <w:r>
        <w:rPr>
          <w:rFonts w:ascii="Times New Roman" w:hAnsi="Times New Roman"/>
        </w:rPr>
        <w:t>Auftrag und Aktenlage</w:t>
      </w:r>
    </w:p>
    <w:p>
      <w:pPr>
        <w:jc w:val="left"/>
      </w:pPr>
      <w:r>
        <w:t>Dieses Aktenstück ist als zusammenhängendes Arbeitsgutachten im Mandat Klara Windmöller gegen die Ofenhaus Backstein GmbH angelegt. Es ordnet die Unterlagen zum wasserführenden Holzofen Aquaflamm 8 kW, den die Mandantin auf das Angebot Nr. 25-1188 vom 14.10.2025 hin für ihren Altbau in Lübeck bestellte, und formuliert die Prüfung so weit aus, dass Antwortschreiben, Anträge und Verhandlungen daraus unmittelbar entwickelt werden können. Der Kern liegt bei der Einordnung als Kauf mit Montageverpflichtung oder Werkvertrag, der Verantwortlichkeit für den Monteur Hinnerk Brandt, der Bürgschaft der Bankhaus Nordtor eG über höchstens 4.000 EUR, den Notmaßnahme-Aufwendungen der Nachbarin Krumm, dem Brandschaden vom 19.12.2025 und dem Regress der Provinzial Nord. Einschlägig sind §§ 433 ff., 631 ff., 765 ff., 677 ff., 812 und 823 ff. BGB sowie § 86 VVG und die Verjährungsregeln der §§ 438, 634a BGB.</w:t>
      </w:r>
    </w:p>
    <w:p>
      <w:pPr>
        <w:pStyle w:val="Heading2"/>
      </w:pPr>
      <w:r>
        <w:rPr>
          <w:rFonts w:ascii="Times New Roman" w:hAnsi="Times New Roman"/>
        </w:rPr>
        <w:t>Tatsächlicher Prüfrahmen</w:t>
      </w:r>
    </w:p>
    <w:p>
      <w:pPr>
        <w:jc w:val="left"/>
      </w:pPr>
      <w:r>
        <w:t>Die Akte zeigt mehrere Brüche. Das Angebot Nr. 25-1188 und die Herstelleranleitung sind technisch formuliert, die Bürgschaftsurkunde vom 20.10.2025 und der Klageentwurf der Gegenseite rechtlich. Die Bestell-E-Mail vom 18.10.2025 wirkt eindeutig, lässt aber offen, ob der Zusatz, die Mandantin wolle im Winter 2025/26 sicher heizen können, eine Beschaffenheitsvereinbarung im Sinne des § 434 Abs. 2 BGB beziehungsweise § 633 Abs. 2 BGB begründet. Das Montageprotokoll vom 21.11.2025 dokumentiert ein angekreuztes Abnahmefeld, aber keine zuordenbare Unterschrift. Deshalb wird jedes Dokument mit drei Fragen gelesen: Welche Tatsache belegt es? Welche Rechtsfolge soll daran geknüpft werden? Welche Gegenbehauptung der Ofenhaus Backstein GmbH ist realistisch?</w:t>
      </w:r>
    </w:p>
    <w:p>
      <w:pPr>
        <w:pStyle w:val="Heading2"/>
      </w:pPr>
      <w:r>
        <w:rPr>
          <w:rFonts w:ascii="Times New Roman" w:hAnsi="Times New Roman"/>
        </w:rPr>
        <w:t>Normprogramm</w:t>
      </w:r>
    </w:p>
    <w:p>
      <w:pPr>
        <w:jc w:val="left"/>
      </w:pPr>
      <w:r>
        <w:t>Die Prüfung beginnt mit der Rechtsnatur des Vertrags: Kaufvertrag mit Montageverpflichtung (§§ 433, 434 Abs. 4 BGB) oder Werkvertrag über die betriebsfertige Heizungsanlage (§ 631 BGB); davon hängen Abnahmeerfordernis, Beweislast und Verjährung nach § 438 BGB oder § 634a BGB ab. Danach werden getrennt geprüft: die Schlussrate von 3.400 EUR nach § 641 BGB, die Mängelrechte aus §§ 634 ff. BGB wegen Rauchentwicklung, Wasseraustritt und einem Vorlauf von nur 51 Grad, die Bürgschaft der Bankhaus Nordtor eG nach §§ 765 ff. BGB samt Einreden aus §§ 768, 770 BGB und begrenztem Sicherungszweck, der Aufwendungsersatz der Nachbarin Krumm aus §§ 677, 683, 670 BGB, die Rückforderung der 300 EUR auf den Nachtrag vom 30.11.2025 aus § 812 Abs. 1 BGB sowie die deliktische Haftung von Ofenhaus und Monteur Brandt aus §§ 823, 831 BGB nebst Regress der Provinzial Nord aus übergegangenem Recht (§ 86 VVG). Diese Matrix entscheidet, ob die Mandantin nacherfüllen lassen, mindern, zurücktreten, aufrechnen oder sofort gerichtlichen Rechtsschutz gegen die Bürgschaftsinanspruchnahme vorbereiten muss.</w:t>
      </w:r>
    </w:p>
    <w:p>
      <w:pPr>
        <w:pStyle w:val="Heading2"/>
      </w:pPr>
      <w:r>
        <w:rPr>
          <w:rFonts w:ascii="Times New Roman" w:hAnsi="Times New Roman"/>
        </w:rPr>
        <w:t>Subsumtion I: Ausgangsposition</w:t>
      </w:r>
    </w:p>
    <w:p>
      <w:pPr>
        <w:jc w:val="left"/>
      </w:pPr>
      <w:r>
        <w:t>Die Mandantin hat eine vertretbare, aber nicht risikolose Ausgangsposition. Sie kann sich auf die Mängel-E-Mail vom 03.12.2025, die Fotos mit dem etwa 18 cm breiten Rußkranz und der verbrannten Dämmmatte, den Screenshot der Temperaturanzeige mit 51 Grad Vorlauf bei voller Befeuerung sowie die Herstelleranleitung mit Mindestabstand von 40 cm und Manschettenpflicht stützen; zusammen ergibt das das plausible Bild eines Montage- oder Planungsfehlers. Schwach ist bisher, dass die Ursache des Brandes vom 19.12.2025 nicht durch ein Gutachten belegt ist, dass das Abnahmefeld im Protokoll vom 21.11.2025 angekreuzt wurde und dass die Mandantin 300 EUR auf den nicht unterschriebenen Nachtrag gezahlt hat. Fotos und Screenshot sind praktisch wertvoll, aber prozessual angreifbar, solange Metadaten und Aufnahmedaten nicht gesichert sind.</w:t>
      </w:r>
    </w:p>
    <w:p>
      <w:pPr>
        <w:pStyle w:val="Heading2"/>
      </w:pPr>
      <w:r>
        <w:rPr>
          <w:rFonts w:ascii="Times New Roman" w:hAnsi="Times New Roman"/>
        </w:rPr>
        <w:t>Subsumtion II: Gegenseite und Behördenlogik</w:t>
      </w:r>
    </w:p>
    <w:p>
      <w:pPr>
        <w:jc w:val="left"/>
      </w:pPr>
      <w:r>
        <w:t>Die Ofenhaus Backstein GmbH wird voraussichtlich nicht den gesamten Vorgang bestreiten, sondern an einzelnen Scharnieren ansetzen: an der behaupteten Abnahme vom 21.11.2025 mit der Folge der Beweislastumkehr, an der AGB-Rügefrist von sieben Tagen für offensichtliche Mängel, am Weiterbetrieb trotz Rauchentwicklung, am Eingriff der Nachbarin Krumm vom 05.12.2025 und am alten Schornsteinmauerwerk als angeblicher Brandursache. Daneben folgen Provinzial Nord und Bezirksschornsteinfeger ihrer eigenen Prüfungslogik: Der Versicherer hat 18.600 EUR nur vorläufig reguliert und prüft Regress gegen Ofenhaus, Brandt und gegebenenfalls die Mandantin; der Schornsteinfeger wurde erst nachträglich informiert. Deshalb muss die Antwort nicht laut, sondern präzise sein: Sie muss belegen, dass die Symptome bereits vor jedem Fremdeingriff angezeigt waren.</w:t>
      </w:r>
    </w:p>
    <w:p>
      <w:pPr>
        <w:pStyle w:val="Heading2"/>
      </w:pPr>
      <w:r>
        <w:rPr>
          <w:rFonts w:ascii="Times New Roman" w:hAnsi="Times New Roman"/>
        </w:rPr>
        <w:t>Beweis- und Dokumentenstrategie</w:t>
      </w:r>
    </w:p>
    <w:p>
      <w:pPr>
        <w:jc w:val="left"/>
      </w:pPr>
      <w:r>
        <w:t>Für jede tragende Behauptung braucht die Akte einen Beleg. Für die fehlende Abnahme: das Original des Montageprotokolls vom 21.11.2025 und das Zeugnis der kurzzeitig anwesenden Nachbarin Krumm. Für die Mängel: die E-Mail vom 03.12.2025, datierte Fotos von Rußkranz, Tropfstelle und Dämmmatte sowie das anzufordernde Hydraulikschema, das die übergebene Anleitung für den konkreten Anschluss nicht enthält. Für die Bürgschaftseinreden: die Urkunde vom 20.10.2025, deren Sicherungszweck auf „Lieferung Holzofen Aquaflamm und Montage gemäß Angebot vom 14.10.2025“ beschränkt ist und den Nachtrag vom 30.11.2025 nicht erfasst. Für den Brand: das Sachverständigengutachten zu Brandschutzmanschette, Mindestabstand und Zustand des Schornsteinmauerwerks. Fehlt ein Dokument, wird nicht improvisiert, sondern eine Nachforderung formuliert.</w:t>
      </w:r>
    </w:p>
    <w:p>
      <w:pPr>
        <w:pStyle w:val="Heading2"/>
      </w:pPr>
      <w:r>
        <w:rPr>
          <w:rFonts w:ascii="Times New Roman" w:hAnsi="Times New Roman"/>
        </w:rPr>
        <w:t>Taktische Bewertung</w:t>
      </w:r>
    </w:p>
    <w:p>
      <w:pPr>
        <w:jc w:val="left"/>
      </w:pPr>
      <w:r>
        <w:t>Der beste nächste Schritt ist eine gestufte Reaktion. Zuerst wird die Akte geschlossen: Original des Montageprotokolls, vollständige Herstelleranleitung mit Hydraulikschemata, Inbetriebnahmeblatt, Schornsteinfegerunterlagen und die Belege der Nachbarin Krumm über 286 EUR, 49 EUR und 65 EUR anfordern; Ofen, Rücklaufleitung und Wanddurchbruch bleiben unverändert. Zweitens wird das Antwortschreiben an Ofenhaus abgesendet, das die Schlussrate von 3.400 EUR zurückweist, eine Nacherfüllungsfrist setzt und die Bestätigung bis zum 26.05.2026 verlangt, die Bürgschaft nicht weiter zu ziehen. Drittens wird ein interner Entscheidungsvermerk mit den Varianten Nacherfüllung, Minderung um geschätzt 2.100 EUR und Rücktritt samt Kosten und Risiken erstellt. Viertens werden negative Feststellungsklage zum Landgericht Lübeck und einstweiliger Rechtsschutz gegen die Bürgschaftsinanspruchnahme vorbereitet, aber erst ausgelöst, wenn die außergerichtliche Klärung keinen Nutzen mehr verspricht.</w:t>
      </w:r>
    </w:p>
    <w:p>
      <w:pPr>
        <w:pStyle w:val="Heading2"/>
      </w:pPr>
      <w:r>
        <w:rPr>
          <w:rFonts w:ascii="Times New Roman" w:hAnsi="Times New Roman"/>
        </w:rPr>
        <w:t>Ergebnis</w:t>
      </w:r>
    </w:p>
    <w:p>
      <w:pPr>
        <w:jc w:val="left"/>
      </w:pPr>
      <w:r>
        <w:t>Die Akte ist nicht mit einem einfachen Ja oder Nein erledigt. Ob die Schlussrate von 3.400 EUR geschuldet ist, hängt an der Abnahme; ob die Bankhaus Nordtor eG zahlen muss, an den Einreden aus der Hauptschuld und am Sicherungszweck; ob die Nachbarin Krumm ihre 400 EUR ersetzt bekommt, an Erforderlichkeit und mutmaßlichem Willen; ob der Regress der Provinzial Nord über 18.600 EUR durchgreift, an der Brandursache. Dieses Gutachten soll die Entscheidung der Mandantin beschleunigen, die Beweislücken sichtbar machen und verhindern, dass das angekreuzte Abnahmefeld oder die Zahlung der 300 EUR auf den Nachtrag später den materiell richtigen Standpunkt zerstört.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