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Entscheidungsvorlage</w:t>
      </w:r>
    </w:p>
    <w:p>
      <w:pPr>
        <w:pStyle w:val="Heading2"/>
      </w:pPr>
      <w:r>
        <w:rPr>
          <w:rFonts w:ascii="Times New Roman" w:hAnsi="Times New Roman"/>
        </w:rPr>
        <w:t>Gegenstand</w:t>
      </w:r>
    </w:p>
    <w:p>
      <w:pPr>
        <w:jc w:val="left"/>
      </w:pPr>
      <w:r>
        <w:t>Dieses Langgutachten bündelt den Vorgang Elbwerft Solarplanung eGbR, Hamburg-Altona, zu einer entscheidungsfähigen Prüfungsfassung. Gegenstand sind der Statuswechsel der eGbR zur OHG und die anschließende KG-Struktur mit der Möller Speicherholding GmbH, der von Lutz Meinhard am 28.02.2026 unterzeichnete Soltronic-Rahmenvertrag über 160 Wechselrichter mit einem Volumen von 1,28 Mio. EUR sowie die von Soltronic am 29.04.2026 als verspätet zurückgewiesene Mängelrüge vom 28.04.2026. Der Partnervermerk vom 20.05.2026, der Arbeitsauszug des Gesellschaftsregisters vom 03.02.2026 und die E-Mails von Bank, Notarin und Soltronic liefern die Tatsachengrundlage; dieses Gutachten führt sie zusammen und schließt die verbleibenden Lücken.</w:t>
      </w:r>
    </w:p>
    <w:p>
      <w:pPr>
        <w:pStyle w:val="Heading2"/>
      </w:pPr>
      <w:r>
        <w:rPr>
          <w:rFonts w:ascii="Times New Roman" w:hAnsi="Times New Roman"/>
        </w:rPr>
        <w:t>Prüfungsprogramm</w:t>
      </w:r>
    </w:p>
    <w:p>
      <w:pPr>
        <w:jc w:val="left"/>
      </w:pPr>
      <w:r>
        <w:t>Der Fall wird entlang folgender Themen bearbeitet: Handelsgewerbe nach § 1 Abs. 2 HGB und OHG-Werdung kraft Gesetzes nach § 105 Abs. 1 HGB, Statuswechsel aus dem Gesellschaftsregister nach § 707c BGB mit Anmeldung nach § 106 HGB, KG-Beitritt der Möller Speicherholding GmbH mit Haftsumme 250.000 EUR nach §§ 161 ff., 171, 176 HGB, Wirksamkeit und Reichweite der nicht eingetragenen Prokura von Lutz Meinhard nach §§ 48 ff. HGB, Rügeobliegenheit beim Wechselrichterkauf nach § 377 HGB sowie Firmenrecht nach §§ 17 ff., 37 HGB im Anschluss an die IHK-Beanstandung. Für jedes Thema wird getrennt gefragt, ob es nach Aktenlage bereits entscheidungsreif ist, ob weitere Tatsachen fehlen oder ob zunächst nur ein Risikovermerk möglich ist.</w:t>
      </w:r>
    </w:p>
    <w:p>
      <w:pPr>
        <w:pStyle w:val="Heading3"/>
      </w:pPr>
      <w:r>
        <w:rPr>
          <w:rFonts w:ascii="Times New Roman" w:hAnsi="Times New Roman"/>
        </w:rPr>
        <w:t>1. Tatsachenbasis</w:t>
      </w:r>
    </w:p>
    <w:p>
      <w:pPr>
        <w:jc w:val="left"/>
      </w:pPr>
      <w:r>
        <w:t>Die Akte enthält belastbare Originalunterlagen: den eGbR-Gesellschaftsvertrag mit der internen Zustimmungsgrenze von 75.000 EUR in § 6, den Arbeitsauszug des Gesellschaftsregisters Hamburg vom 03.02.2026, das Term Sheet des Bankhauses Altonaer Kai eG mit der Frist 31.08.2026, die schriftliche Prokuraerteilung an Lutz Meinhard vom 10.01.2026, den Soltronic-Rahmenvertrag vom 28.02.2026, Lieferschein und ERP-Lagerbuch zur Lieferung von 40 Wechselrichtern am 04.04.2026 sowie die Rüge-E-Mail vom 28.04.2026 nebst Zurückweisung Soltronics vom 29.04.2026. Nur eingeschränkt verwertbar sind der Technikerchat vom 22.04.2026 und die widersprüchlichen Außenauftritte vom OHG-Angebot bis zum KG-Impressum. Deshalb ist jede rechtliche Schlussfolgerung in diesem Gutachten mit dem jeweiligen Beleg verknüpft.</w:t>
      </w:r>
    </w:p>
    <w:p>
      <w:pPr>
        <w:jc w:val="left"/>
      </w:pPr>
      <w:r>
        <w:t>Der wichtigste Fehler wäre, den Statuswechsel schon deshalb als vollzogen anzusehen, weil die Gesellschaft im Angebot an die Stadtwerke Wedel als „Elbwerft Solar OHG“ auftritt. Das Handelsregister enthält keinen Treffer für diese Firma; eingetragen ist allein die Elbwerft Solarplanung eGbR. Ebenso wenig ersetzt der Gesellschafterbeschluss zum Statuswechsel die Eintragung, und das Website-Impressum „Elbwerft Solar GmbH &amp; Co. KG i.G.“ gibt eine Struktur wieder, die es noch gar nicht gibt. Deshalb wird zunächst eine Beweismatrix geführt, die Registerlage, Beschlusslage und Außenauftritt strikt trennt.</w:t>
      </w:r>
    </w:p>
    <w:p>
      <w:pPr>
        <w:pStyle w:val="Heading3"/>
      </w:pPr>
      <w:r>
        <w:rPr>
          <w:rFonts w:ascii="Times New Roman" w:hAnsi="Times New Roman"/>
        </w:rPr>
        <w:t>2. Rechtliche Hauptfrage</w:t>
      </w:r>
    </w:p>
    <w:p>
      <w:pPr>
        <w:jc w:val="left"/>
      </w:pPr>
      <w:r>
        <w:t>Die Hauptfrage ist nicht, ob die KG-Struktur wirtschaftlich sinnvoll wäre; sie wird von Bank und Warenkreditversicherer ohnehin verlangt. Die Hauptfrage lautet, ob die Elbwerft Solarplanung nach Art und Umfang ihres Geschäftsbetriebs — Umsatz von 3,8 Mio. EUR im Jahr 2025, 18 Mitarbeiter, Warenlager in Billbrook, ERP-System, Kreditlinie von 900.000 EUR — bereits ein Handelsgewerbe im Sinne des § 1 Abs. 2 HGB betreibt und damit kraft Gesetzes OHG ist (§ 105 Abs. 1 HGB), obwohl sie im Gesellschaftsregister als eGbR steht. Davon hängen die Registeranmeldung nach § 707c BGB und § 106 HGB, die Prokurafähigkeit, die Anwendbarkeit des § 377 HGB im Soltronic-Streit und die Haftungslage der künftigen Kommanditistin ab.</w:t>
      </w:r>
    </w:p>
    <w:p>
      <w:pPr>
        <w:jc w:val="left"/>
      </w:pPr>
      <w:r>
        <w:t>Bei der Prüfung darf die Bearbeitung nicht in eine bloße Checkliste abrutschen, weil die Teilfragen ineinandergreifen. Bejaht man das Handelsgewerbe, ist die Einlassung gegenüber Soltronic, man sei „nur eGbR“, kaum haltbar — zumal die Gesellschaft selbst als OHG auftritt. Verneint man es, fehlt die Grundlage für die Prokura des Lutz Meinhard nach § 48 HGB, und der Rahmenvertrag über 1,28 Mio. EUR steht auf einer anderen Vertretungsgrundlage. Der von der Bank gewünschte sofortige Beitritt der Möller Speicherholding GmbH wiederum löst vor der Eintragung die Haftungsfrage des § 176 HGB aus, die die Investorin gerade vermeiden will.</w:t>
      </w:r>
    </w:p>
    <w:p>
      <w:pPr>
        <w:pStyle w:val="Heading3"/>
      </w:pPr>
      <w:r>
        <w:rPr>
          <w:rFonts w:ascii="Times New Roman" w:hAnsi="Times New Roman"/>
        </w:rPr>
        <w:t>3. Subsumtion nach Aktenstand</w:t>
      </w:r>
    </w:p>
    <w:p>
      <w:pPr>
        <w:jc w:val="left"/>
      </w:pPr>
      <w:r>
        <w:t>Nach Aktenstand spricht das meiste für ein Handelsgewerbe: Umsatz, Warenlager, Personalstärke und ERP-System ergeben nach der Prüfmatrix ein hohes Risiko, dass die Gesellschaft bereits OHG ist. Im Soltronic-Streit ist die Verteidigungslinie dagegen noch nicht fertig. Stark ist der Einwand des verdeckten Mangels, weil die Firmwarefehler der 11 Geräte erst bei Netzumschaltung im Batteriesystem auftraten; schwach ist, dass das ERP-Lagerbuch 17 Tage ohne Prüfung ausweist und die Wareneingangskontrolle vom 05.04.2026 nur oberflächlich dokumentiert ist.</w:t>
      </w:r>
    </w:p>
    <w:p>
      <w:pPr>
        <w:jc w:val="left"/>
      </w:pPr>
      <w:r>
        <w:t>Die Bearbeitung muss deshalb drei Ebenen unterscheiden:</w:t>
      </w:r>
    </w:p>
    <w:p>
      <w:pPr>
        <w:pStyle w:val="ListBullet"/>
      </w:pPr>
      <w:r>
        <w:t>sichere Tatsachen: Lieferung am 04.04.2026, Wareneingang am 05.04.2026, Entdeckung der Firmwarefehler am 22.04.2026, Rüge per E-Mail am 28.04.2026, Registerstand vom 03.02.2026, schriftliche Prokuraerteilung vom 10.01.2026;</w:t>
      </w:r>
    </w:p>
    <w:p>
      <w:pPr>
        <w:pStyle w:val="ListBullet"/>
      </w:pPr>
      <w:r>
        <w:t>plausible, aber offene Tatsachen: ob die äußere Untersuchung bei Wareneingang ordnungsgemäß war, ob Soltronic den Einsatzzweck im Batteriesystem kannte, ob die Gesellschafter den Rahmenvertrag trotz der internen 75.000-EUR-Grenze gebilligt haben;</w:t>
      </w:r>
    </w:p>
    <w:p>
      <w:pPr>
        <w:pStyle w:val="ListBullet"/>
      </w:pPr>
      <w:r>
        <w:t>bloße Bewertungen: „wir sind doch nur eGbR“, „die Prokura galt ohnehin nur für gewöhnliche Geschäfte“, „die OHG-Firma war nur Marketing“.</w:t>
      </w:r>
    </w:p>
    <w:p>
      <w:pPr>
        <w:jc w:val="left"/>
      </w:pPr>
      <w:r>
        <w:t>Nur die erste Ebene darf ohne Einschränkung in ein Schreiben an Soltronic oder das Registergericht. Die zweite Ebene kann als offener Prüfstand dargestellt werden. Die dritte Ebene gehört in die interne Risikodiskussion, nicht in die Klageerwiderung.</w:t>
      </w:r>
    </w:p>
    <w:p>
      <w:pPr>
        <w:pStyle w:val="Heading3"/>
      </w:pPr>
      <w:r>
        <w:rPr>
          <w:rFonts w:ascii="Times New Roman" w:hAnsi="Times New Roman"/>
        </w:rPr>
        <w:t>4. Gegenposition</w:t>
      </w:r>
    </w:p>
    <w:p>
      <w:pPr>
        <w:jc w:val="left"/>
      </w:pPr>
      <w:r>
        <w:t>Soltronic wird voraussichtlich nicht nur die verspätete Rüge einwenden, sondern ein Organisationsdefizit behaupten: Ein Betrieb mit ERP-System, Lagerbuch und 18 Mitarbeitern hätte die 40 Wechselrichter beim Wareneingang am 05.04.2026 prüfen können und nicht 17 Tage ungeprüft einlagern dürfen. Zusätzlich wird Soltronic den eigenen OHG-Auftritt der Mandantin gegen sie kehren: Wer als „Elbwerft Solar OHG“ anbietet, kann sich gegen § 377 HGB nicht auf den eGbR-Status berufen. Das Registergericht kann nach dem vorbereiteten Entwurf der Zwischenverfügung beanstanden, dass Firma, Unternehmensgegenstand und Vertretungsregelung nicht zur Anmeldung passen und dass Statuswechsel und KG-Schritt vermischt werden.</w:t>
      </w:r>
    </w:p>
    <w:p>
      <w:pPr>
        <w:jc w:val="left"/>
      </w:pPr>
      <w:r>
        <w:t>Dagegen hilft keine schroffe Abwehrformel. Besser ist eine nüchterne Darstellung: Belegt sind Lieferdatum, Entdeckungszeitpunkt und Rügezugang. Geprüft wird, ob der Firmwarefehler bei ordnungsgemäßer äußerer Untersuchung erkennbar war. Korrigiert wird der Außenauftritt durch eine einheitliche Signatur bis zur Eintragung. Bestritten wird die Erkennbarkeit des Mangels bei Wareneingang. Vorbehalten bleibt die rechtliche Wertung zur Kaufmannseigenschaft und zur Anwendbarkeit des § 377 HGB.</w:t>
      </w:r>
    </w:p>
    <w:p>
      <w:pPr>
        <w:pStyle w:val="Heading3"/>
      </w:pPr>
      <w:r>
        <w:rPr>
          <w:rFonts w:ascii="Times New Roman" w:hAnsi="Times New Roman"/>
        </w:rPr>
        <w:t>5. Handlungsempfehlung</w:t>
      </w:r>
    </w:p>
    <w:p>
      <w:pPr>
        <w:jc w:val="left"/>
      </w:pPr>
      <w:r>
        <w:t>Empfohlen wird folgender Ablauf:</w:t>
      </w:r>
    </w:p>
    <w:p>
      <w:pPr>
        <w:pStyle w:val="ListNumber"/>
      </w:pPr>
      <w:r>
        <w:t>Registeranmeldung des Statuswechsels zur OHG nach § 707c BGB und § 106 HGB durch alle drei Gesellschafter Janna Fährmann, Oke Lübbert und Theda Kirsch vorbereiten; die von Notarin Dr. Knoop am 22.05.2026 angeforderten Unterlagen (Gesellschaftsvertrag, Beschluss, Firma, Vertretungsregelung, Investordaten) zusammenstellen.</w:t>
      </w:r>
    </w:p>
    <w:p>
      <w:pPr>
        <w:pStyle w:val="ListNumber"/>
      </w:pPr>
      <w:r>
        <w:t>Fristenkalender mit Verantwortlichkeit führen: 03.06.2026 als gesetzte Frist an Soltronic für Ersatzlieferung oder Firmware-Update, 31.08.2026 als Bankfrist für den Nachweis der KG- oder GmbH-&amp;-Co.-KG-Struktur.</w:t>
      </w:r>
    </w:p>
    <w:p>
      <w:pPr>
        <w:pStyle w:val="ListNumber"/>
      </w:pPr>
      <w:r>
        <w:t>Außenauftritt sofort vereinheitlichen: Bis zur Eintragung wird ausschließlich „Elbwerft Solarplanung eGbR“ verwendet — kein OHG-Angebot, kein Impressum „GmbH &amp; Co. KG i.G.“ und kein Produktname „Solarbank Hamburg“.</w:t>
      </w:r>
    </w:p>
    <w:p>
      <w:pPr>
        <w:pStyle w:val="ListNumber"/>
      </w:pPr>
      <w:r>
        <w:t>Prokura neu ordnen: Einzelprokura des Lutz Meinhard widerrufen, Gesamtprokura gemeinsam mit einem Gesellschafter erteilen und nach § 53 HGB zur Eintragung anmelden, wie es das Term Sheet der Bank verlangt.</w:t>
      </w:r>
    </w:p>
    <w:p>
      <w:pPr>
        <w:pStyle w:val="ListNumber"/>
      </w:pPr>
      <w:r>
        <w:t>KG-Beitritt der Möller Speicherholding GmbH als gesonderte zweite Stufe dokumentieren; die Kommanditistin darf vor der Eintragung nicht im Außenauftritt erscheinen, um die unbeschränkte Haftung nach § 176 HGB zu vermeiden.</w:t>
      </w:r>
    </w:p>
    <w:p>
      <w:pPr>
        <w:pStyle w:val="ListNumber"/>
      </w:pPr>
      <w:r>
        <w:t>Im Soltronic-Streit nur freigegebene Tatsachen verwenden: Lieferkette, Entdeckung am 22.04.2026, Rüge am 28.04.2026; keine Angaben zur internen 75.000-EUR-Grenze oder zur Freigabehistorie ohne anwaltliche Abstimmung.</w:t>
      </w:r>
    </w:p>
    <w:p>
      <w:pPr>
        <w:pStyle w:val="Heading3"/>
      </w:pPr>
      <w:r>
        <w:rPr>
          <w:rFonts w:ascii="Times New Roman" w:hAnsi="Times New Roman"/>
        </w:rPr>
        <w:t>6. Entwurf einer Entscheidungsvorlage</w:t>
      </w:r>
    </w:p>
    <w:p>
      <w:pPr>
        <w:jc w:val="left"/>
      </w:pPr>
      <w:r>
        <w:t>Option A: defensive Minimalantwort. Die Mängelrüge wird nur knapp aufrechterhalten und der Statuswechsel ohne weitere Erläuterung angemeldet. Vorteil: schnelle Wahrung der Fristen gegenüber Bank und Soltronic, geringe Selbstbelastung. Nachteil: Das Registergericht dürfte mit einer Zwischenverfügung nachfragen, und Soltronic wertet eine substanzlose Antwort als Bestätigung der Verspätungsthese.</w:t>
      </w:r>
    </w:p>
    <w:p>
      <w:pPr>
        <w:jc w:val="left"/>
      </w:pPr>
      <w:r>
        <w:t>Option B: strukturierte Teiloffenlegung. Gegenüber Soltronic wird der verdeckte Firmwarefehler mit dem Befund vom 22.04.2026 dargelegt und Ersatzlieferung oder Update bis 03.06.2026 verlangt; gegenüber Registergericht und Notarin werden Statuswechsel zur OHG und KG-Beitritt sauber getrennt. Vorteil: glaubwürdig gegenüber Bank, Gericht und Lieferant, ohne die Rechtsposition zu § 377 HGB aufzugeben. Nachteil: erfordert abgestimmte Kommunikation aller drei Gesellschafter und eine konsequent einheitliche Signatur.</w:t>
      </w:r>
    </w:p>
    <w:p>
      <w:pPr>
        <w:jc w:val="left"/>
      </w:pPr>
      <w:r>
        <w:t>Option C: umfassende Stellungnahme einschließlich Offenlegung der internen Abläufe, also der 75.000-EUR-Grenze und der ungeprüften Einlagerung. Vorteil: könnte den skizzierten Vergleich — Austausch der 11 fehlerhaften Geräte binnen 14 Tagen, Zahlung der unstreitigen Rechnungen, beidseitiger Verzicht auf ein Präjudiz zu § 377 HGB — beschleunigen. Nachteil: hohes Risiko, weil das Lagerbuch die 17 ungeprüften Tage dokumentiert und die Offenlegung die Rügeverteidigung schwächen kann.</w:t>
      </w:r>
    </w:p>
    <w:p>
      <w:pPr>
        <w:jc w:val="left"/>
      </w:pPr>
      <w:r>
        <w:t>Derzeit ist Option B vorzugswürdig. Sie hält die Bankfrist zum 31.08.2026 und die Soltronic-Frist zum 03.06.2026 ein, trennt die Registerschritte so, wie es die Notarin verlangt, und vermeidet Anerkenntnisse in der Rügefrage.</w:t>
      </w:r>
    </w:p>
    <w:p>
      <w:pPr>
        <w:pStyle w:val="Heading2"/>
      </w:pPr>
      <w:r>
        <w:rPr>
          <w:rFonts w:ascii="Times New Roman" w:hAnsi="Times New Roman"/>
        </w:rPr>
        <w:t>Offene Nachforderungen</w:t>
      </w:r>
    </w:p>
    <w:p>
      <w:pPr>
        <w:pStyle w:val="ListBullet"/>
      </w:pPr>
      <w:r>
        <w:t>unterzeichnete und datierte Fassung des Gesellschafterbeschlusses zum Statuswechsel;</w:t>
      </w:r>
    </w:p>
    <w:p>
      <w:pPr>
        <w:pStyle w:val="ListBullet"/>
      </w:pPr>
      <w:r>
        <w:t>Zugangsnachweis der Rüge-E-Mail vom 28.04.2026 bei Soltronic;</w:t>
      </w:r>
    </w:p>
    <w:p>
      <w:pPr>
        <w:pStyle w:val="ListBullet"/>
      </w:pPr>
      <w:r>
        <w:t>Prokuraurkunde vom 10.01.2026 im Original samt interner Freigabehistorie zum Rahmenvertrag vom 28.02.2026;</w:t>
      </w:r>
    </w:p>
    <w:p>
      <w:pPr>
        <w:pStyle w:val="ListBullet"/>
      </w:pPr>
      <w:r>
        <w:t>vollständiges ERP-Lagerbuch für den Zeitraum 05.04. bis 22.04.2026 mit den Seriennummern der 11 fehlerhaften Wechselrichter;</w:t>
      </w:r>
    </w:p>
    <w:p>
      <w:pPr>
        <w:pStyle w:val="ListBullet"/>
      </w:pPr>
      <w:r>
        <w:t>endgültiges Term Sheet des Bankhauses Altonaer Kai eG und Beitrittsentwurf der Möller Speicherholding GmbH mit Haftsumme und Pflichteinlage von je 250.000 EUR;</w:t>
      </w:r>
    </w:p>
    <w:p>
      <w:pPr>
        <w:pStyle w:val="ListBullet"/>
      </w:pPr>
      <w:r>
        <w:t>dokumentierter Technikerbefund vom 22.04.2026 zum Ausfall bei Netzumschaltung;</w:t>
      </w:r>
    </w:p>
    <w:p>
      <w:pPr>
        <w:pStyle w:val="ListBullet"/>
      </w:pPr>
      <w:r>
        <w:t>Nachweis, ob das Angebot an die Stadtwerke Wedel unter der Firma „Elbwerft Solar OHG“ zu einem Vertragsschluss geführt hat.</w:t>
      </w:r>
    </w:p>
    <w:p>
      <w:pPr>
        <w:pStyle w:val="Heading2"/>
      </w:pPr>
      <w:r>
        <w:rPr>
          <w:rFonts w:ascii="Times New Roman" w:hAnsi="Times New Roman"/>
        </w:rPr>
        <w:t>Ergebnis</w:t>
      </w:r>
    </w:p>
    <w:p>
      <w:pPr>
        <w:jc w:val="left"/>
      </w:pPr>
      <w:r>
        <w:t>Die Akte ist bearbeitbar, aber noch nicht entscheidungsreif. Vorrang haben die getrennte Registeranmeldung des Statuswechsels zur OHG, die sofortige Vereinheitlichung des Außenauftritts auf „Elbwerft Solarplanung eGbR“ und die fristgerechte, kontrollierte Antwort an Soltronic bis zum 03.06.2026. Erst nach Vervollständigung von Lagerbuch, Zugangsnachweis und Beschlussfassung sollte die endgültige Bewertung zu § 377 HGB und zur Bindung an den Rahmenvertrag über 1,28 Mio. EUR ausgegeben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