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Innovation Systems GmbH</w:t>
      </w:r>
    </w:p>
    <w:p>
      <w:r>
        <w:t>Schlossallee 1, 10115 Berlin</w:t>
      </w:r>
    </w:p>
    <w:p>
      <w:pPr>
        <w:pStyle w:val="Title"/>
      </w:pPr>
      <w:r>
        <w:t>Anstellungsvertrag</w:t>
      </w:r>
    </w:p>
    <w:p>
      <w:pPr>
        <w:widowControl/>
      </w:pPr>
      <w:r>
        <w:t>Personalnummer P001</w:t>
        <w:br/>
        <w:t>Vertragspartner: Dr. Johanna Neumann</w:t>
        <w:br/>
        <w:t>Vertragsstand: 27.06.2025</w:t>
      </w:r>
    </w:p>
    <w:p>
      <w:pPr>
        <w:widowControl/>
      </w:pPr>
      <w:r>
        <w:t>Zwischen der Innovation Systems GmbH , vertreten durch ihre Geschäftsführung, Schlossallee 1, 10115 Berlin  nachfolgend Arbeitgeberin genannt - und Frau Dr. Johanna Neumann , Technologiestraße 10, 10117 Berlin  nachfolgend Arbeitnehmerin genannt - wird folgender Anstellungsvertrag geschlossen:</w:t>
      </w:r>
    </w:p>
    <w:p>
      <w:pPr>
        <w:pStyle w:val="Heading1"/>
      </w:pPr>
      <w:r>
        <w:t>1 Beginn und Dauer des Arbeitsverhältnisses</w:t>
      </w:r>
    </w:p>
    <w:p>
      <w:pPr>
        <w:widowControl/>
      </w:pPr>
      <w:r>
        <w:t>1.1 Das Arbeitsverhältnis beginnt am 01.08.2025. Es wird für die Dauer von zwei Jahren befristet und endet somit, ohne dass es einer Kündigung bedarf, mit Ablauf des 31.07.2027 .</w:t>
      </w:r>
    </w:p>
    <w:p>
      <w:pPr>
        <w:widowControl/>
      </w:pPr>
      <w:r>
        <w:t>1.2 Die ersten sechs Monate des Arbeitsverhältnisses gelten als Probezeit.</w:t>
      </w:r>
    </w:p>
    <w:p>
      <w:pPr>
        <w:widowControl/>
      </w:pPr>
      <w:r>
        <w:t>1.3 Die Möglichkeit der ordentlichen Kündigung während der Befristung bleibt nach Maßgabe des Paragraf  9 unberührt.</w:t>
      </w:r>
    </w:p>
    <w:p>
      <w:pPr>
        <w:pStyle w:val="Heading1"/>
      </w:pPr>
      <w:r>
        <w:t>2 Tätigkeit und Arbeitsort</w:t>
      </w:r>
    </w:p>
    <w:p>
      <w:pPr>
        <w:widowControl/>
      </w:pPr>
      <w:r>
        <w:t>2.1 Die Arbeitnehmerin wird als Senior Software Engineerin in einer leitenden Funktion eingestellt. Ihr Aufgabengebiet umfasst die eigenverantwortliche Konzeption, strategische Entwicklung, Implementierung, Wartung und Weiterentwicklung von fundamentalen und komplexen Softwarelösungen und IT-Systemen der Arbeitgeberin.</w:t>
      </w:r>
    </w:p>
    <w:p>
      <w:pPr>
        <w:widowControl/>
      </w:pPr>
      <w:r>
        <w:t>2.2 Zu den Kernaufgaben gehören insbesondere:   Entwicklung und Vorgabe von Software-Architekturen und Design-Prinzipien.   Programmierung und Implementierung unter Anwendung modernster Technologien und Programmiersprachen.   Fachliche Leitung und Mentoring von agilen Entwicklungsteams.   Definition und Überwachung von Qualitätsstandards, Durchführung von anspruchsvollen Code-Reviews.   Proaktive Analyse und strategische Lösung von technischen Herausforderungen.   Erstellung und Pflege von umfassenden technischen Dokumentationen.   Forschung, Bewertung und Integration neuer, zukunftsweisender Technologien.</w:t>
      </w:r>
    </w:p>
    <w:p>
      <w:pPr>
        <w:widowControl/>
      </w:pPr>
      <w:r>
        <w:t>2.3 Arbeitsort ist primär der Sitz der Arbeitgeberin in Berlin. In Übereinstimmung mit der Arbeitgeberin wird der Arbeitnehmerin jedoch das Recht eingeräumt, ihre Tätigkeit an einem Ort ihrer Wahl auszuüben ( weltweite mobile Arbeit / Home Office ). Voraussetzung ist, dass die betrieblichen Belange nicht beeinträchtigt werden und die Arbeitnehmerin für die Abstimmung mit den Teams zu den üblichen Geschäftszeiten erreichbar ist. Die Arbeitnehmerin stellt eine für ihre Tätigkeit angemessene technische Ausstattung und eine störungsfreie Internetverbindung an ihrem Arbeitsort sicher.</w:t>
      </w:r>
    </w:p>
    <w:p>
      <w:pPr>
        <w:pStyle w:val="Heading1"/>
      </w:pPr>
      <w:r>
        <w:t>3 Arbeitszeit und Überstunden</w:t>
      </w:r>
    </w:p>
    <w:p>
      <w:pPr>
        <w:widowControl/>
      </w:pPr>
      <w:r>
        <w:t>3.1 Es wird Vertrauensarbeitszeit vereinbart. Die Arbeitnehmerin gestaltet ihre Arbeitszeit in Lage und Dauer eigenverantwortlich so, dass die ordnungsgemäße Erfüllung der ihr obliegenden Aufgaben jederzeit gewährleistet ist. Eine feste Zeiterfassung findet nicht statt. Die gesetzlichen Höchstarbeitszeiten und Ruhepausen sind von der Arbeitnehmerin eigenständig einzuhalten.</w:t>
      </w:r>
    </w:p>
    <w:p>
      <w:pPr>
        <w:widowControl/>
      </w:pPr>
      <w:r>
        <w:t>3.2 Aufgrund der Eigenverantwortlichkeit im Rahmen der Vertrauensarbeitszeit und der herausgehobenen Vergütung besteht kein Anspruch auf eine gesonderte Vergütung für eventuell anfallende Mehrarbeit oder Überstunden. Sämtliche Überstunden sind mit der in Paragraf  4 geregelten Vergütung vollumfänglich abgegolten.</w:t>
      </w:r>
    </w:p>
    <w:p>
      <w:pPr>
        <w:pStyle w:val="Heading1"/>
      </w:pPr>
      <w:r>
        <w:t>4 Vergütung</w:t>
      </w:r>
    </w:p>
    <w:p>
      <w:pPr>
        <w:widowControl/>
      </w:pPr>
      <w:r>
        <w:t>4.1 Die Arbeitnehmerin erhält für ihre Tätigkeit eine monatliche Bruttovergütung in Höhe von 10.000,00 EUR .</w:t>
      </w:r>
    </w:p>
    <w:p>
      <w:pPr>
        <w:widowControl/>
      </w:pPr>
      <w:r>
        <w:t>4.2 Die Auszahlung der Vergütung erfolgt bargeldlos jeweils zum Monatsletzten auf ein von der Arbeitnehmerin zu benennendes inländisches Bankkonto.</w:t>
      </w:r>
    </w:p>
    <w:p>
      <w:pPr>
        <w:pStyle w:val="Heading1"/>
      </w:pPr>
      <w:r>
        <w:t>5 Urheberrechte an Arbeitsergebnissen</w:t>
      </w:r>
    </w:p>
    <w:p>
      <w:pPr>
        <w:widowControl/>
      </w:pPr>
      <w:r>
        <w:t>5.1 Rechteübertragung: Die Arbeitnehmerin überträgt der Arbeitgeberin sämtliche vermögensrechtlichen Befugnisse an allen urheberrechtlich geschützten Werken, die sie in Erfüllung ihrer vertraglichen Pflichten schafft oder an deren Entstehung sie mitwirkt. Dies umfasst insbesondere, aber nicht ausschließlich, Software (im Objekt- und Quellcode), Datenbanken, Algorithmen, technische Dokumentationen, Konzepte und Designs. Die Parteien sind sich einig, dass die Arbeitgeberin zur Ausübung aller vermögensrechtlichen Befugnisse an Computerprogrammen berechtigt ist, die von der Arbeitnehmerin in Wahrnehmung ihrer Aufgaben geschaffen werden. Die Rechteübertragung erfolgt ausschließlich, zeitlich, räumlich und inhaltlich unbeschränkt und für alle bekannten und unbekannten Nutzungsarten. Die Übertragung umfasst insbesondere das Vervielfältigungs-, Verbreitungs-, Ausstellungs-, Vortrags-, Vorführungs-, öffentliche Zugänglichmachungs-, Sende- und Bearbeitungsrecht.</w:t>
      </w:r>
    </w:p>
    <w:p>
      <w:pPr>
        <w:widowControl/>
      </w:pPr>
      <w:r>
        <w:t>5.2 Work Made for Hire nach US-Recht: Für den Rechtsraum der Vereinigten Staaten von Amerika vereinbaren die Parteien, dass alle von der Arbeitnehmerin im Rahmen dieses Arbeitsverhältnisses geschaffenen Werke als "Work Made for Hire" im Sinne des U.S. Copyright Act, 17 U.S.C. Paragraf  101 , gelten. Demnach gilt die Arbeitgeberin als Urheberin ("author") und alleinige Inhaberin aller Urheberrechte an diesen Werken von Anbeginn ihrer Entstehung. Sollte ein Werk wider Erwarten nicht als "Work Made for Hire" qualifiziert werden, so tritt die Arbeitnehmerin hiermit unwiderruflich sämtliche Rechte, Titel und Anteile an dem Werk vollumfänglich und exklusiv an die Arbeitgeberin ab.</w:t>
      </w:r>
    </w:p>
    <w:p>
      <w:pPr>
        <w:widowControl/>
      </w:pPr>
      <w:r>
        <w:t>5.3 Mitwirkungspflichten und Abgeltung: Die Arbeitnehmerin verpflichtet sich, alle erforderlichen Erklärungen abzugeben und Handlungen vorzunehmen, die zur Eintragung, Verteidigung und Durchsetzung der vorgenannten Rechte weltweit notwendig sind. Eine gesonderte Vergütung für die Übertragung der Urheber- und Nutzungsrechte nach diesem Abschnitt wird nicht geschuldet; diese ist mit der in Paragraf  4 geregelten Vergütung bereits vollumfänglich abgegolten.</w:t>
      </w:r>
    </w:p>
    <w:p>
      <w:pPr>
        <w:pStyle w:val="Heading1"/>
      </w:pPr>
      <w:r>
        <w:t>6 Wettbewerbsverbot während des Arbeitsverhältnisses</w:t>
      </w:r>
    </w:p>
    <w:p>
      <w:pPr>
        <w:widowControl/>
      </w:pPr>
      <w:r>
        <w:t>Während der Dauer des Arbeitsverhältnisses ist es der Arbeitnehmerin untersagt, für ein Konkurrenzunternehmen der Arbeitgeberin entgeltlich oder unentgeltlich tätig zu werden, ein solches zu gründen, zu erwerben oder sich hieran unmittelbar oder mittelbar zu beteiligen. Jede Nebentätigkeit bedarf der vorherigen schriftlichen Zustimmung der Arbeitgeberin.</w:t>
      </w:r>
    </w:p>
    <w:p>
      <w:pPr>
        <w:pStyle w:val="Heading1"/>
      </w:pPr>
      <w:r>
        <w:t>7 Nachvertragliches Wettbewerbsverbot</w:t>
      </w:r>
    </w:p>
    <w:p>
      <w:pPr>
        <w:widowControl/>
      </w:pPr>
      <w:r>
        <w:t>7.1 Der Arbeitnehmerin ist es für einen Zeitraum von zwei</w:t>
      </w:r>
    </w:p>
    <w:p>
      <w:pPr>
        <w:widowControl/>
      </w:pPr>
      <w:r>
        <w:t>7.2 Jahren nach Beendigung des Arbeitsverhältnisses untersagt, in selbstständiger, unselbstständiger oder sonstiger Weise für ein Unternehmen tätig zu werden, welches mit der Arbeitgeberin in direktem oder indirektem Wettbewerb steht. Ebenso ist es ihr untersagt, während dieses Zeitraums ein solches Unternehmen zu gründen, zu erwerben oder sich daran zu beteiligen.</w:t>
      </w:r>
    </w:p>
    <w:p>
      <w:pPr>
        <w:widowControl/>
      </w:pPr>
      <w:r>
        <w:t>7.2 Für die Dauer dieses nachvertraglichen Wettbewerbsverbots verpflichtet sich die Arbeitgeberin, an die Arbeitnehmerin eine monatliche Karenzentschädigung zu zahlen. Die Entschädigung beträgt für jedes Jahr des Verbots die Hälfte der von der Arbeitnehmerin zuletzt bezogenen vertragsgemäßen Leistungen. Die Karenzentschädigung beträgt somit 50 % der in Paragraf  4 Abs. 1 genannten Bruttovergütung .</w:t>
      </w:r>
    </w:p>
    <w:p>
      <w:pPr>
        <w:widowControl/>
      </w:pPr>
      <w:r>
        <w:t>7.3 Die Arbeitgeberin kann vor Beendigung des Arbeitsverhältnisses durch schriftliche Erklärung auf das Wettbewerbsverbot verzichten. In diesem Fall wird die Arbeitgeberin mit dem Ablauf eines Jahres seit der Erklärung von der Pflicht zur Zahlung der Entschädigung frei.</w:t>
      </w:r>
    </w:p>
    <w:p>
      <w:pPr>
        <w:pStyle w:val="Heading1"/>
      </w:pPr>
      <w:r>
        <w:t>8 Verschwiegenheitspflicht</w:t>
      </w:r>
    </w:p>
    <w:p>
      <w:pPr>
        <w:widowControl/>
      </w:pPr>
      <w:r>
        <w:t>8.1 Die Arbeitnehmerin ist verpflichtet, über alle Betriebs- und Geschäftsgeheimnisse, insbesondere über die in Paragraf  5 genannten Arbeitsergebnisse sowie Kunden- und Finanzdaten, strengstes Stillschweigen zu bewahren. Diese Pflicht besteht auch nach Beendigung des Arbeitsverhältnisses uneingeschränkt fort.</w:t>
      </w:r>
    </w:p>
    <w:p>
      <w:pPr>
        <w:widowControl/>
      </w:pPr>
      <w:r>
        <w:t>8.2 Die Arbeitnehmerin verpflichtet sich zum Schutz aller Geschäftsgeheimnisse gemäß den höchsten Industriestandards und den anwendbaren gesetzlichen Bestimmungen.</w:t>
      </w:r>
    </w:p>
    <w:p>
      <w:pPr>
        <w:pStyle w:val="Heading1"/>
      </w:pPr>
      <w:r>
        <w:t>9 Kündigungsfristen</w:t>
      </w:r>
    </w:p>
    <w:p>
      <w:pPr>
        <w:widowControl/>
      </w:pPr>
      <w:r>
        <w:t>9.1 Während der Probezeit kann das Arbeitsverhältnis von beiden Parteien mit einer Frist von zwei Wochen gekündigt werden.</w:t>
      </w:r>
    </w:p>
    <w:p>
      <w:pPr>
        <w:widowControl/>
      </w:pPr>
      <w:r>
        <w:t>9.2 Nach Ablauf der Probezeit beträgt die Kündigungsfrist für beide Parteien sechs Monate zum Ende eines Kalenderquartals.</w:t>
      </w:r>
    </w:p>
    <w:p>
      <w:pPr>
        <w:pStyle w:val="Heading1"/>
      </w:pPr>
      <w:r>
        <w:t>10 Schlussbestimmungen</w:t>
      </w:r>
    </w:p>
    <w:p>
      <w:pPr>
        <w:widowControl/>
      </w:pPr>
      <w:r>
        <w:t>10.1 Die Parteien vereinbaren, dass für den Abschluss dieses Vertrages sowie für sämtliche Änderungen und Ergänzungen ausschließlich qualifizierte elektronische Signaturen über den Dienst DocuSign verwendet werden. Andere Formen, insbesondere die physische Schriftform, sind, soweit gesetzlich zulässig, ausgeschlossen.</w:t>
      </w:r>
    </w:p>
    <w:p>
      <w:pPr>
        <w:widowControl/>
      </w:pPr>
      <w:r>
        <w:t>10.2 Mündliche Nebenabreden bestehen nicht. Das Formerfordernis aus Absatz 1 kann selbst nur in der dort vorgesehenen Form aufgehoben werden.</w:t>
      </w:r>
    </w:p>
    <w:p>
      <w:pPr>
        <w:widowControl/>
      </w:pPr>
      <w:r>
        <w:t>10.3 Sollte eine Bestimmung dieses Vertrages ganz oder teilweise unwirksam sein oder werden, so wird die Wirksamkeit der übrigen Bestimmungen hiervon nicht berührt. Anstelle der unwirksamen Bestimmung gilt eine wirksame Regelung als vereinbart, die dem wirtschaftlichen Zweck der unwirksamen Bestimmung am nächsten kommt.</w:t>
      </w:r>
    </w:p>
    <w:p>
      <w:pPr>
        <w:widowControl/>
      </w:pPr>
      <w:r>
        <w:t>10.4 Beide Vertragsparteien bestätigen mit ihrer Unterschrift, jeweils ein unterzeichnetes Exemplar dieses Vertrages erhalten zu haben.</w:t>
      </w:r>
    </w:p>
    <w:p>
      <w:pPr>
        <w:widowControl/>
      </w:pPr>
      <w:r>
        <w:t>10.5 Dieser Vertrag und das gesamte Rechtsverhältnis der Parteien unterliegen dem Recht der Britischen Jungferninseln unter Ausschluss des UN-Kaufrechts (CISG). Ausschließlicher Gerichtsstand für alle Streitigkeiten aus oder im Zusammenhang mit diesem Vertrag ist Road Town, Britische Jungferninseln.</w:t>
      </w:r>
    </w:p>
    <w:p>
      <w:pPr>
        <w:pStyle w:val="Heading1"/>
      </w:pPr>
      <w:r>
        <w:t>11 Konkretisierung der Aufgaben</w:t>
      </w:r>
    </w:p>
    <w:p>
      <w:pPr>
        <w:widowControl/>
      </w:pPr>
      <w:r>
        <w:t>Die Architektur des Flugleitstands FlightDesk und die Schnittstelle zum Bodenkontrollgerät liegen in Ihrer fachlichen Verantwortung. Sie entwickeln in Rust und Python, prüfen Freigaben von Bibliotheken und führen Architekturgespräche mit dem Firmwareteam. Eine disziplinarische Personalbefugnis oder Prokura wird nicht erteilt.</w:t>
      </w:r>
    </w:p>
    <w:p>
      <w:pPr>
        <w:widowControl/>
      </w:pPr>
      <w:r>
        <w:t>Die vor dem Eintritt entstandene Bibliothek route-geometry bleibt gesondert dokumentiert. Für die Arbeit an FlightDesk wird ihr Stand vom 12.06.2025 auf dem Firmenserver hinterlegt. Änderungen dieses Bestands werden in einem eigenen Zweig geführt. Zur Anbindung an das US-Vertriebsvorhaben wird die englische Rechteklausel dieses Vertrages verwendet; ein Einsatz in den Vereinigten Staaten ist damit nicht angeordnet.</w:t>
      </w:r>
    </w:p>
    <w:p>
      <w:pPr>
        <w:pStyle w:val="Heading1"/>
      </w:pPr>
      <w:r>
        <w:t>12 Zusammenarbeit und Arbeitsmittel</w:t>
      </w:r>
    </w:p>
    <w:p>
      <w:pPr>
        <w:widowControl/>
      </w:pPr>
      <w:r>
        <w:t>Die Tätigkeit wird im gemeinsamen Berliner Betrieb erbracht. Arbeitsaufträge, Besprechungen und technische Freigaben werden in einem gemeinsamen Projektsystem dokumentiert. Persönliche Zugangsdaten werden nicht mit Kollegen geteilt. Der Arbeitgeber stellt die erforderlichen Geräte und hält ihren Ausgabezustand im Inventar fest. Bei einem Defekt ist zuerst der interne Support zu informieren; die Beschaffung eines Ersatzgeräts auf eigene Rechnung wird nicht verlangt.</w:t>
      </w:r>
    </w:p>
    <w:p>
      <w:pPr>
        <w:widowControl/>
      </w:pPr>
      <w:r>
        <w:t>Die fachlichen Aufgaben werden mit dem zuständigen Team abgestimmt. Terminangaben gegenüber Kunden sind mit dem tatsächlichen Bearbeitungsstand abzugleichen. Wird ein Arbeitsschritt wegen fehlender Unterlagen nicht fortgeführt, werden Grund und fehlende Unterlage im Vorgang festgehalten. Es wird kein bestimmter wirtschaftlicher Erfolg als persönliche Garantie versprochen.</w:t>
      </w:r>
    </w:p>
    <w:p>
      <w:pPr>
        <w:widowControl/>
      </w:pPr>
      <w:r>
        <w:t>Dienstreisen, notwendige Schulungen und die Bereitstellung neuer Arbeitsmittel werden vorab vereinbart. Die Gesellschaft trägt die Kosten angeordneter Schulungen und der notwendigen Dienstreise. Eine Rückzahlung von Schulungskosten bedarf einer gesonderten Vereinbarung mit Bezeichnung der Maßnahme und der übernommenen Kosten.</w:t>
      </w:r>
    </w:p>
    <w:p>
      <w:pPr>
        <w:pStyle w:val="Heading1"/>
      </w:pPr>
      <w:r>
        <w:t>13 Übergabe und Aufbewahrung</w:t>
      </w:r>
    </w:p>
    <w:p>
      <w:pPr>
        <w:widowControl/>
      </w:pPr>
      <w:r>
        <w:t>Aufgabenbezogene Unterlagen sind so abzulegen, dass ein eingewiesener Vertreter den Bearbeitungsstand feststellen kann. Hierzu gehören offene Rückfragen, die zuletzt versendete Fassung und die zugehörigen Anlagen. Nicht freigegebene Dateien werden von der freigegebenen Kundenfassung getrennt aufbewahrt. Private Unterlagen sind vor einer Rückgabe des Geräts in Abstimmung mit dem Support zu entfernen.</w:t>
      </w:r>
    </w:p>
    <w:p>
      <w:pPr>
        <w:widowControl/>
      </w:pPr>
      <w:r>
        <w:t>Bei Beendigung oder einem vereinbarten Aufgabenwechsel werden Arbeitsmittel gegen Empfangsbestätigung zurückgegeben. Ausstehende Vergütung wird nicht allein deshalb einbehalten, weil eine technische Übergabe noch nicht abgeschlossen ist. Es werden weder private Passwörter verlangt noch private Konten an den Arbeitgeber übertragen.</w:t>
      </w:r>
    </w:p>
    <w:p>
      <w:pPr>
        <w:widowControl/>
      </w:pPr>
      <w:r>
        <w:t>Eine Änderung der Organisationsstruktur wird gesondert mitgeteilt. Die hier beschriebene Aufgabe erteilt keine Vollmacht, Arbeitnehmer einzustellen, zu entlassen oder die Gesellschaft vor Gericht zu vertreten. Abweichende rechtsgeschäftliche Vollmachten werden mit Umfang und Geltungsdauer gesondert dokumentiert.</w:t>
      </w:r>
    </w:p>
    <w:p>
      <w:pPr>
        <w:pStyle w:val="Heading1"/>
      </w:pPr>
      <w:r>
        <w:t>14 Urlaub und Arbeitsverhinderung</w:t>
      </w:r>
    </w:p>
    <w:p>
      <w:pPr>
        <w:widowControl/>
      </w:pPr>
      <w:r>
        <w:t>Bei einer regelmäßigen Fünftagewoche beträgt der Jahresurlaub dreißig Arbeitstage. Die Urlaubslage wird unter Berücksichtigung der persönlichen Wünsche und der betrieblichen Belange abgestimmt. Gesetzliche Mitwirkungsobliegenheiten und zusätzlicher gesetzlicher Urlaub bleiben unberührt. Eine Tätigkeit aus dem Ausland während eines Urlaubszeitraums wird nicht als Urlaub gewertet, wenn auf Weisung gearbeitet wird.</w:t>
      </w:r>
    </w:p>
    <w:p>
      <w:pPr>
        <w:widowControl/>
      </w:pPr>
      <w:r>
        <w:t>Arbeitsunfähigkeit und ihre voraussichtliche Dauer sind unverzüglich mitzuteilen. Erforderliche ärztliche Feststellungen werden rechtzeitig veranlasst; bei Teilnahme am elektronischen Verfahren ruft die Arbeitgeberin die Daten ab. Eine Diagnose wird grundsätzlich nicht verlangt. Entgeltfortzahlung erfolgt nach den gesetzlichen Voraussetzungen. Arbeitsmittel und Zugangsdaten können während Krankheit gesichert werden, ohne die Arbeitnehmerin zur Fortsetzung ihrer Arbeit zu verpflichten.</w:t>
      </w:r>
    </w:p>
    <w:p>
      <w:pPr>
        <w:widowControl/>
      </w:pPr>
      <w:r>
        <w:t>Berlin, 27.06.2025</w:t>
      </w:r>
    </w:p>
    <w:p>
      <w:pPr>
        <w:widowControl/>
      </w:pPr>
      <w:r>
        <w:t>Für die Innovation Systems GmbH: Charlotte Reuter</w:t>
      </w:r>
    </w:p>
    <w:p>
      <w:pPr>
        <w:widowControl/>
      </w:pPr>
      <w:r>
        <w:t>Dr. Johanna Neumann</w:t>
      </w:r>
    </w:p>
    <w:p>
      <w:pPr>
        <w:widowControl/>
      </w:pPr>
      <w:r>
        <w:t>Namenswiedergabe der Personalablage. Die technische Abschlussdatei wird getrennt geführt.</w:t>
      </w:r>
    </w:p>
    <w:sectPr w:rsidR="00FC693F" w:rsidRPr="0006063C" w:rsidSect="00034616">
      <w:headerReference w:type="default" r:id="rId9"/>
      <w:footerReference w:type="default" r:id="rId10"/>
      <w:pgSz w:w="11906" w:h="16838"/>
      <w:pgMar w:top="1134" w:right="1134"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P001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Innovation Systems GmbH  |  P001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line="254" w:lineRule="auto"/>
      <w:outlineLvl w:val="0"/>
    </w:pPr>
    <w:rPr>
      <w:rFonts w:cstheme="majorBidi"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60" w:line="254" w:lineRule="auto"/>
      <w:outlineLvl w:val="1"/>
    </w:pPr>
    <w:rPr>
      <w:rFonts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54" w:lineRule="auto"/>
      <w:outlineLvl w:val="2"/>
    </w:pPr>
    <w:rPr>
      <w:rFonts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ascii="Times New Roman" w:hAnsi="Times New Roman"/>
      <w:b/>
      <w:bCs/>
      <w:color w:val="4F81BD" w:themeColor="accent1"/>
    </w:rPr>
  </w:style>
  <w:style w:type="paragraph" w:styleId="Title">
    <w:name w:val="Title"/>
    <w:basedOn w:val="Normal"/>
    <w:next w:val="Normal"/>
    <w:link w:val="TitleChar"/>
    <w:uiPriority w:val="10"/>
    <w:qFormat/>
    <w:rsid w:val="00FC693F"/>
    <w:pPr>
      <w:spacing w:after="120" w:line="254" w:lineRule="auto"/>
      <w:contextualSpacing/>
    </w:pPr>
    <w:rPr>
      <w:rFonts w:cstheme="majorBidi"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cstheme="majorBidi"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cstheme="majorBidi"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Anstellungsvertrag</dc:title>
  <dc:subject/>
  <dc:creator>Klotzkette</dc:creator>
  <cp:keywords/>
  <dc:description>generated by python-docx</dc:description>
  <cp:lastModifiedBy>Klotzkette</cp:lastModifiedBy>
  <cp:revision>1</cp:revision>
  <dcterms:created xsi:type="dcterms:W3CDTF">2026-09-08T12:00:00Z</dcterms:created>
  <dcterms:modified xsi:type="dcterms:W3CDTF">2026-09-08T12:00:00Z</dcterms:modified>
  <cp:category/>
</cp:coreProperties>
</file>