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Ilmgrund Kreditservice GmbH</w:t>
        <w:br/>
        <w:t>Selma Korngut | 10.10.2026</w:t>
      </w:r>
    </w:p>
    <w:p>
      <w:pPr>
        <w:pStyle w:val="Title"/>
      </w:pPr>
      <w:r>
        <w:t>Prüfauftrag zum Projekt Lindenbogen</w:t>
      </w:r>
    </w:p>
    <w:p>
      <w:r>
        <w:t>An Rechtsanwältin Dr. Alva Steinacker. Wir möchten bis zum 16.10.2026 entscheiden, ob wir in verbindliche Verhandlungen über den Erfurter Darlehensbestand eintreten. Bitte beginnen Sie mit den 20 ausgewählten Einzelakten und dem Abgleich der Kaufpreisbasis.</w:t>
      </w:r>
    </w:p>
    <w:p>
      <w:pPr>
        <w:pStyle w:val="Heading1"/>
      </w:pPr>
      <w:r>
        <w:t>1 Auftrag und Rollen</w:t>
      </w:r>
    </w:p>
    <w:p>
      <w:r>
        <w:t>Ich, Selma Korngut, beauftrage Sie für Ilmgrund Kreditservice GmbH, Pappelhof 9, 99084 Erfurt. Die Gesellschaft möchte 1.000 deutsche Verbraucherdarlehensforderungen von Ashcombe Personal Bank plc, Niederlassung Erfurt erwerben. Auf Verkäuferseite koordiniert Elin Voss die Unterlagen, auf unserer Seite betreut Arvid Hummel die Zahlen. Bitte kennzeichnen Sie Verkäuferbehauptungen und eigene Befunde getrennt.</w:t>
      </w:r>
    </w:p>
    <w:p>
      <w:pPr>
        <w:pStyle w:val="Heading1"/>
      </w:pPr>
      <w:r>
        <w:t>2 Gegenstand des Erwerbs</w:t>
      </w:r>
    </w:p>
    <w:p>
      <w:r>
        <w:t>Unsere derzeitige Struktur ist ein Forderungskauf mit gesonderter Serviceüberleitung. Die Übernahme von Kundenverträgen als Ganzes, Einlagen, Filialmietvertrag, Personal oder Betriebsmitteln ist noch nicht vereinbart. Die Umgangssprache ‚Filialkauf‘ in den bisherigen Mails darf den Prüfungsgegenstand nicht erweitern. Wenn eine dieser Positionen für die geplante Abwicklung erforderlich ist, benötigen wir eine getrennte Entscheidung und einen passenden Nachweis.</w:t>
      </w:r>
    </w:p>
    <w:p>
      <w:pPr>
        <w:pStyle w:val="Heading1"/>
      </w:pPr>
      <w:r>
        <w:t>3 Prüfung und Ergebnisse</w:t>
      </w:r>
    </w:p>
    <w:p>
      <w:r>
        <w:t>Bitte erstellen Sie eine Management-Zusammenfassung, eine belegbezogene Feststellungsliste und konkrete Änderungen des Kaufvertragsentwurfs. Die Prüfung soll Bestand, Übertragbarkeit, Beweisbarkeit, Einwendungen, Durchsetzbarkeit, Servicing, Datenzugang, Kaufpreis und Aufsichtsvoraussetzungen verbinden. Einen Buchungssaldo wollen wir nicht ohne Weiteres als einziehbare Forderung bewerten. Schlagen Sie Nachforderungen und konkrete Vollzugsbedingungen vor.</w:t>
      </w:r>
    </w:p>
    <w:p>
      <w:r>
        <w:t>Der Datenraum enthält 20 bewusst problemorientiert ausgewählte Verträge. Die übrigen 980 Datensätze sind lediglich Verkäuferexporte. Bitte leiten Sie daraus weder eine statistische Fehlerquote noch einen ungeprüften Befund für den Gesamtbestand ab. Wenn ein Risiko nicht nur den Einzelfall betrifft, benötigen wir eine begründete Erweiterung des Prüfungsumfangs.</w:t>
      </w:r>
    </w:p>
    <w:p>
      <w:pPr>
        <w:pStyle w:val="Heading1"/>
      </w:pPr>
      <w:r>
        <w:t>4 Zahlen und Vollzug</w:t>
      </w:r>
    </w:p>
    <w:p>
      <w:r>
        <w:t>Der Verkäuferexport weist eine Hauptforderung von 17.618.800,00 EUR und einen Gesamtsaldo von 17.647.912,20 EUR aus. Die Hauptbuchüberleitung nennt einen gesonderten Zahlungseingang von 720 Euro. Die Preisfaktoren in der Excel stammen allein vom Verkäufer. Für Einwendungen, Kosten und Sicherheiten sind zunächst keine bestätigten Erwerberwerte eingetragen.</w:t>
      </w:r>
    </w:p>
    <w:p>
      <w:r>
        <w:t>Vor einer Freigabe müssen unsere Erlaubnis- und Servicingstruktur, die rechtswirksame Forderungsübertragung, die Datenübermittlung und die Kundenkommunikation geklärt sein. Ashcombe ist eine englische Gesellschaft. Bitte lassen Sie sich den tatsächlichen Status ihrer deutschen Tätigkeit und die für unsere Erwerbs- und Einziehungsstruktur erforderlichen Nachweise vorlegen. Wir unterstellen keinen fortbestehenden europäischen Pass.</w:t>
      </w:r>
    </w:p>
    <w:p>
      <w:pPr>
        <w:pStyle w:val="Heading1"/>
      </w:pPr>
      <w:r>
        <w:t>5 Kommunikation</w:t>
      </w:r>
    </w:p>
    <w:p>
      <w:r>
        <w:t>Fragen an den Verkäufer werden als Entwurf an mich gegeben. Das Team darf intern Unterlagen auswerten und Entwürfe erstellen; es darf keine Kunden anschreiben, Forderungen anerkennen, Kontoangaben umstellen oder Zahlungen anweisen. Bitte nennen Sie am Ende jeder Arbeitssitzung die nächste konkrete Entscheidung und die Unterlagen, die hierfür noch fehlen.</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