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Absichtserklärung zum Erwerb von Darlehensforderungen</w:t>
      </w:r>
    </w:p>
    <w:p>
      <w:r>
        <w:t>Ashcombe Personal Bank plc, Niederlassung Erfurt und Ilmgrund Kreditservice GmbH halten den folgenden Verhandlungsstand vom 08.10.2026 fest. Dieser Entwurf beschreibt die beabsichtigte Transaktion; ein verbindlicher Forderungskauf wird erst durch einen gesondert freigegebenen Vertrag begründet.</w:t>
      </w:r>
    </w:p>
    <w:p>
      <w:pPr>
        <w:pStyle w:val="Heading1"/>
      </w:pPr>
      <w:r>
        <w:t>1 Transaktionsgegenstand</w:t>
      </w:r>
    </w:p>
    <w:p>
      <w:r>
        <w:t>Gegenstand der Verhandlungen sind die in der Verkäuferliste KREDIT-ERF-20260930 bezeichneten 1.000 Verbraucherdarlehensforderungen. Eine Übernahme der Bankgesellschaft, sämtlicher Kundenverträge oder des Filialbetriebs wird hierdurch nicht vereinbart. Parteienbezeichnungen und Vertretungsnachweise sind vor Unterzeichnung anhand vollständiger Register- und Vollmachtsunterlagen zu bestätigen.</w:t>
      </w:r>
    </w:p>
    <w:p>
      <w:pPr>
        <w:pStyle w:val="Heading1"/>
      </w:pPr>
      <w:r>
        <w:t>2 Preisgrundlage</w:t>
      </w:r>
    </w:p>
    <w:p>
      <w:r>
        <w:t>Der indikative Verkäuferansatz beträgt 16.161.791,50 EUR. Er ergibt sich aus den Kapitalständen und den in der Arbeitsmappe offengelegten Faktoren; auf Zinsen und Kosten wird in diesem Ansatz kein zusätzlicher Kaufpreis gerechnet. Dieser Ansatz steht unter dem Vorbehalt der rechtlichen und wirtschaftlichen Prüfung. Durch bloße Einsicht in die Datei billigt die Käuferin weder den Datenbestand noch die Bewertung einzelner Forderungen.</w:t>
      </w:r>
    </w:p>
    <w:p>
      <w:pPr>
        <w:pStyle w:val="Heading1"/>
      </w:pPr>
      <w:r>
        <w:t>3 Prüfungsphase</w:t>
      </w:r>
    </w:p>
    <w:p>
      <w:r>
        <w:t>Die Verkäuferin stellt Vertragsfassungen, Auszahlungsbelege, Zahlungshistorien, Titel, Sicherheitenunterlagen, Einwendungen und Informationen zur regulatorischen und datenschutzrechtlichen Abwicklung zur Verfügung. Die Käuferin kann weitere Einzelakten anfordern. Die 20 bereitgestellten Detailakten werden nicht als repräsentative Zufallsstichprobe bezeichnet. Zugriff erhalten nur namentlich freigegebene Personen mit dokumentiertem Zweck.</w:t>
      </w:r>
    </w:p>
    <w:p>
      <w:pPr>
        <w:pStyle w:val="Heading1"/>
      </w:pPr>
      <w:r>
        <w:t>4 Geplanter Vollzug</w:t>
      </w:r>
    </w:p>
    <w:p>
      <w:r>
        <w:t>Als Arbeitsziel wird der 30.11.2026 genannt. Der Termin ist kein vorbehaltlos zugesagter Vollzugstag. Er setzt die abgestimmte Übertragungsstruktur, sämtliche erforderlichen Genehmigungen oder Erlaubnisnachweise, die abschließende Kaufpreismechanik, eine getestete Serviceüberleitung und eine freigegebene Kundeninformation voraus. Keine Partei darf durch diese Absichtserklärung fremde Rechte oder zwingende gesetzliche Voraussetzungen ersetzen.</w:t>
      </w:r>
    </w:p>
    <w:p>
      <w:pPr>
        <w:pStyle w:val="Heading1"/>
      </w:pPr>
      <w:r>
        <w:t>5 Vertraulichkeit und Umgang mit Daten</w:t>
      </w:r>
    </w:p>
    <w:p>
      <w:r>
        <w:t>Die Parteien verwenden bereitgestellte Unterlagen nur zur Prüfung und Vorbereitung dieser Transaktion. Personenbezogene Daten werden zunächst minimiert und nur soweit benötigt zugänglich gemacht. Jede Partei prüft ihre Rechtsgrundlage, Zugriffsberechtigungen und gegebenenfalls einschlägige Drittlandanforderungen. Eine Vertraulichkeitsvereinbarung allein ersetzt diese Prüfung nicht. Unberechtigter Zugriff ist der anderen Partei unverzüglich mit den bekannten Tatsachen mitzuteilen.</w:t>
      </w:r>
    </w:p>
    <w:p>
      <w:pPr>
        <w:pStyle w:val="Heading1"/>
      </w:pPr>
      <w:r>
        <w:t>6 Kosten und Verbindlichkeit</w:t>
      </w:r>
    </w:p>
    <w:p>
      <w:r>
        <w:t>Jede Partei trägt ihre eigenen Prüfungskosten. Die Regelungen über Vertraulichkeit, zweckgebundene Nutzung und Kosten sollen mit Unterzeichnung verbindlich sein; die übrigen Bestimmungen sind eine unverbindliche Verhandlungsgrundlage. Eine Exklusivität wird nicht vereinbart. Eine Partei kann die Verhandlungen beenden, muss dann aber die zweckgebundenen Unterlagen nach abgestimmten Aufbewahrungspflichten behandeln.</w:t>
      </w:r>
    </w:p>
    <w:p>
      <w:pPr>
        <w:pStyle w:val="Heading1"/>
      </w:pPr>
      <w:r>
        <w:t>7 Unterzeichnung</w:t>
      </w:r>
    </w:p>
    <w:p>
      <w:r>
        <w:t>Die Unterzeichnung dieses Entwurfs ist noch nicht freigegeben. Auf Verkäuferseite soll Beatrice Ashdown nach Vorlage ihrer Vertretungsbefugnis zeichnen; auf Käuferseite sollen Selma Korngut und Arvid Hummel gemeinsam zeichnen. Die interne Nennung ersetzt weder eine Vollmacht noch einen registerrechtlichen Nachweis.</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