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Forderungskaufvertrag Projekt Lindenbogen</w:t>
      </w:r>
    </w:p>
    <w:p>
      <w:r>
        <w:t>Verkäuferentwurf vom 07.10.2026. Die Käuferseite soll den Text anhand der Due Diligence bearbeiten. Offene Verhandlungspunkte sind in vollständigen Klauseln beschrieben; sie sind keine bereits erteilten Freigaben.</w:t>
      </w:r>
    </w:p>
    <w:p>
      <w:pPr>
        <w:pStyle w:val="Heading1"/>
      </w:pPr>
      <w:r>
        <w:t>1 Parteien und Vertragsstand</w:t>
      </w:r>
    </w:p>
    <w:p>
      <w:r>
        <w:t>Verkäuferin ist Ashcombe Personal Bank plc, handelnd durch ihre Niederlassung Erfurt, Lindenbogen 18, 99084 Erfurt. Käuferin ist Ilmgrund Kreditservice GmbH, Pappelhof 9, 99084 Erfurt. Die Verkäuferin erklärt, dass die Niederlassung keine eigene Rechtspersönlichkeit besitzt. Vertretungsnachweise und Registerauszüge sind vor Unterzeichnung in den Abschlussordner aufzunehmen. Dieser Text ist der Verhandlungsentwurf der Verkäuferseite vom 07.10.2026 und noch nicht angenommen.</w:t>
      </w:r>
    </w:p>
    <w:p>
      <w:pPr>
        <w:pStyle w:val="Heading1"/>
      </w:pPr>
      <w:r>
        <w:t>2 Kaufgegenstand und Abgrenzung</w:t>
      </w:r>
    </w:p>
    <w:p>
      <w:r>
        <w:t>Die Verkäuferin verkauft die in Anlage 1 eindeutig bezeichneten Forderungen gegen deutsche Verbraucher aus 1.000 Darlehensverträgen einschließlich der dort bezeichneten Nebenrechte. Anlage 1 ist die zum Vollzug von beiden Parteien abgezeichnete Endfassung des Bestandsverzeichnisses. Der derzeitige Mittagsauszug vom 30.09.2026 ist lediglich die Ausgangsfassung. Nicht enthalten sind Kundeneinlagen, sonstige Verbindlichkeiten, die Bankgesellschaft, Mietverträge, Arbeitsverhältnisse oder eine Erlaubnis zum Betrieb von Bankgeschäften.</w:t>
      </w:r>
    </w:p>
    <w:p>
      <w:r>
        <w:t>Die Übernahme ganzer Kundenverträge wird nicht vereinbart. Soweit Rechte oder Pflichten ohne Mitwirkung Dritter nicht wie vorgesehen übergehen können, werden diese Positionen bis zur Klärung getrennt geführt. Eine Servicevereinbarung ersetzt weder die Forderungsübertragung noch eine erforderliche Zustimmung.</w:t>
      </w:r>
    </w:p>
    <w:p>
      <w:pPr>
        <w:pStyle w:val="Heading1"/>
      </w:pPr>
      <w:r>
        <w:t>3 Wirtschaftlicher Stichtag</w:t>
      </w:r>
    </w:p>
    <w:p>
      <w:r>
        <w:t>Wirtschaftlicher Stichtag soll der 30.09.2026, 24.00 Uhr, sein. Die Parteien gleichen alle Zahlungen zwischen dem Exportzeitpunkt um 12.00 Uhr und diesem Stichtag sowie die nachträglich wertgestellten Buchungen gesondert ab. Der Eingang von 720 Euro zu APB-0017 wird in einer Stichtagsbrücke offengelegt. Eine Zahlung darf weder zweimal preiswirksam abgezogen noch gleichzeitig beim Verkäufer und Käufer als einziehbare Forderung stehen bleiben.</w:t>
      </w:r>
    </w:p>
    <w:p>
      <w:pPr>
        <w:pStyle w:val="Heading1"/>
      </w:pPr>
      <w:r>
        <w:t>4 Kaufpreis und Überleitung</w:t>
      </w:r>
    </w:p>
    <w:p>
      <w:r>
        <w:t>Der vorläufige Kaufpreis beträgt 16.161.791,50 EUR. Grundlage sind die Kapitalstände und Verkäuferfaktoren der Arbeitsmappe. Zinsen und Kosten sind im vorläufigen Preis nicht gesondert vergütet. Vor Unterzeichnung sind die zulässigen Ausschlüsse, Korrekturen und Einzelfallabschläge in Anlage 2 zu vereinbaren. Ein lediglich technisch vorhandener Buchungssaldo wird nicht durch diese Preisklausel rechtlich bestätigt.</w:t>
      </w:r>
    </w:p>
    <w:p>
      <w:r>
        <w:t>Der endgültige Kaufpreis ergibt sich aus der gemeinsam festgestellten Endliste und den in Anlage 2 vereinbarten Korrekturen. Über streitige Positionen wird eine gesonderte Liste geführt. Bis zur Einigung werden diese Positionen nicht übertragen und nicht bezahlt. Die Parteien benennen für jede Position den Betrag, den Grund der Abweichung und die noch benötigten Belege.</w:t>
      </w:r>
    </w:p>
    <w:p>
      <w:pPr>
        <w:pStyle w:val="Heading1"/>
      </w:pPr>
      <w:r>
        <w:t>5 Abtretung und Übergabe</w:t>
      </w:r>
    </w:p>
    <w:p>
      <w:r>
        <w:t>Die Abtretung wird am Vollzugstag durch eine gesonderte, auf die Endliste Bezug nehmende Erklärung vorgenommen. Die Verkäuferin übergibt die vorhandenen Vertragsurkunden, Auszahlungsnachweise, Buchungshistorien, Einwendungen, Titel und Sicherheitenunterlagen. Fehlende Originale werden einzeln bezeichnet; ein allgemeiner Hinweis auf den Datenraum genügt nicht. Die Verkäuferin informiert über frühere Abtretungen, Verpfändungen und vertragliche Beschränkungen.</w:t>
      </w:r>
    </w:p>
    <w:p>
      <w:r>
        <w:t>Die Parteien prüfen für jede nicht ohne Weiteres übertragbare Sicherheit oder Urkunde die erforderliche Mitwirkung und Form. Die Kennzeichnung ‚besichert‘ im System ist keine Bestätigung einer wirksam bestellten und überleitbaren Sicherheit. Einwendungen und Einreden der Schuldner werden durch den Verkauf nicht aufgehoben.</w:t>
      </w:r>
    </w:p>
    <w:p>
      <w:pPr>
        <w:pStyle w:val="Heading1"/>
      </w:pPr>
      <w:r>
        <w:t>6 Vollzugsbedingungen</w:t>
      </w:r>
    </w:p>
    <w:p>
      <w:r>
        <w:t>Der Vollzug setzt eine dokumentierte Entscheidung über die aufsichtsrechtlich zulässige Erwerbs- und Servicingstruktur, vollständige Vertretungsnachweise, die bereinigte Endliste und die freigegebene Zahlungsüberleitung voraus. Die Parteien dürfen nur solche Zustimmungen oder Bedingungen abbedingen, über die sie rechtlich verfügen können. Anforderungen von Behörden oder Rechte Dritter sind nicht durch eine interne Freigabe ersetzbar.</w:t>
      </w:r>
    </w:p>
    <w:p>
      <w:r>
        <w:t>Die Verkäuferin legt den Nachweis ihres tatsächlichen Erlaubnis- und Niederlassungsstatus vor. Die Käuferin legt die für ihre konkrete Tätigkeit erforderlichen Nachweise vor. Ein Verweis auf eine frühere Tätigkeit innerhalb des europäischen Binnenmarkts ersetzt diese Nachweise nicht. Bis zur Erfüllung darf kein massenweiser Gläubigerwechsel an Kunden kommuniziert werden.</w:t>
      </w:r>
    </w:p>
    <w:p>
      <w:pPr>
        <w:pStyle w:val="Heading1"/>
      </w:pPr>
      <w:r>
        <w:t>7 Erklärungen der Verkäuferin</w:t>
      </w:r>
    </w:p>
    <w:p>
      <w:r>
        <w:t>Die Verkäuferin erklärt nach ihrer derzeitigen Kenntnis, Inhaberin der angebotenen Forderungen zu sein und die in der Endliste ausgewiesenen Zahlungseingänge vollständig offengelegt zu haben. Sie legt sämtliche ihr bekannten Einwendungen, Stundungen, Vergleiche, Insolvenzereignisse, Restschuldbefreiungen und Beschwerden offen. Jede Erklärung ist mit ihrem Wissensstand und den offengelegten Ausnahmen abzugleichen.</w:t>
      </w:r>
    </w:p>
    <w:p>
      <w:r>
        <w:t>Der Umfang einer verschuldensunabhängigen Einstandspflicht, etwaige Wissenszurechnung sowie Rechtsfolgen falscher Angaben sind noch nicht abschließend verhandelt. Die Verkäuferin schlägt eine Haftungsobergrenze in Höhe von 15 Prozent des Kaufpreises und eine Anzeigefrist von 18 Monaten ab Vollzug vor. Die Käuferin hat diesen Vorschlag nicht akzeptiert; insbesondere Forderungsinhaberschaft, doppelte Verkäufe, vorsätzliche Täuschung und Datenschutzvorfälle sind getrennt zu behandeln.</w:t>
      </w:r>
    </w:p>
    <w:p>
      <w:pPr>
        <w:pStyle w:val="Heading1"/>
      </w:pPr>
      <w:r>
        <w:t>8 Zahlungseingänge und Fehlleitungen</w:t>
      </w:r>
    </w:p>
    <w:p>
      <w:r>
        <w:t>Nach Vollzug eingehende Zahlungen auf übertragene Forderungen werden täglich mit Vertragsnummer, Wertstellung und Zuordnung dokumentiert und nach dem vereinbarten Abrechnungsplan weitergeleitet. Eine unklare Zahlung bleibt bis zur Klärung sichtbar auf einer Ausnahmeliste. Rücklastschriften und Erstattungen werden derselben Forderung zugeordnet. Keine Partei darf einen belegten Eingang allein wegen einer technischen Verzögerung nochmals vom Kunden verlangen.</w:t>
      </w:r>
    </w:p>
    <w:p>
      <w:pPr>
        <w:pStyle w:val="Heading1"/>
      </w:pPr>
      <w:r>
        <w:t>9 Serviceüberleitung</w:t>
      </w:r>
    </w:p>
    <w:p>
      <w:r>
        <w:t>Die Verkäuferin soll für höchstens drei Monate nach Vollzug einfache Bestandsauskünfte und die technische Verbuchung als Übergangsleistung erbringen. Umfang, Weisungsbefugnisse, Entgelt, Datenschutzrollen, Kontrollrechte und etwaige Erlaubnisanforderungen werden vor Vollzug in einer gesonderten Servicevereinbarung festgelegt. Ohne deren Freigabe startet der Übergangsservice nicht. Kündigungen, Vergleiche, neue Vollstreckungsaufträge und Änderungen von Zahlungsdaten bedürfen einer namentlich dokumentierten Freigabe der zuständigen menschlichen Stelle.</w:t>
      </w:r>
    </w:p>
    <w:p>
      <w:pPr>
        <w:pStyle w:val="Heading1"/>
      </w:pPr>
      <w:r>
        <w:t>10 Kundenkommunikation</w:t>
      </w:r>
    </w:p>
    <w:p>
      <w:r>
        <w:t>Die Parteien stimmen eine verständliche Mitteilung ab, die Forderungsinhaber, Servicer, unveränderte Konditionen, Ansprechpartner und den überprüfbaren Zahlungsweg auseinanderhält. Betroffene mit Insolvenzverfahren, streitiger Identität, unklarer Erbfolge oder besonderen Vereinbarungen erhalten keine unbesehene Standardnachricht. Widersprüchliche Anschriften und Zustellrückläufer sind vor Versand zu klären. Die Mitteilung enthält keine Aufforderung zur Preisgabe von PIN oder Zugangsdaten.</w:t>
      </w:r>
    </w:p>
    <w:p>
      <w:pPr>
        <w:pStyle w:val="Heading1"/>
      </w:pPr>
      <w:r>
        <w:t>11 Daten und Informationssicherheit</w:t>
      </w:r>
    </w:p>
    <w:p>
      <w:r>
        <w:t>Die Parteien dokumentieren Zweck, Umfang, Rechtsgrundlage und Empfänger jeder Datenweitergabe. Zugriffe werden rollenbezogen beschränkt und protokolliert. Ausweis-, Gesundheits- und Einkommensunterlagen werden nicht allein deshalb vollständig kopiert, weil sie im Altbestand vorhanden sind. Der mögliche Portalvorfall bei APB-0015 wird gesondert untersucht; bekannte Risiken dürfen im Abschlussordner nicht durch einen pauschalen Vertraulichkeitshinweis ersetzt werden.</w:t>
      </w:r>
    </w:p>
    <w:p>
      <w:r>
        <w:t>Für den Übergangsservice in Manchester werden tatsächliche Zugriffswege, Datenschutzrollen und erforderliche Übermittlungsinstrumente vor Freigabe geprüft. Eine bloße Vertragsklausel behauptet keine Angemessenheitsentscheidung oder gesetzliche Zulässigkeit. Aufbewahrung, Rückgabe und Löschung werden nach Zweck und geltenden Pflichten abgestimmt; Beweismittel in offenen Streitigkeiten dürfen nicht unbesehen gelöscht werden.</w:t>
      </w:r>
    </w:p>
    <w:p>
      <w:pPr>
        <w:pStyle w:val="Heading1"/>
      </w:pPr>
      <w:r>
        <w:t>12 Besondere Bestandsfälle</w:t>
      </w:r>
    </w:p>
    <w:p>
      <w:r>
        <w:t>APB-0001, APB-0002, APB-0008, APB-0014 und APB-0019 werden bis zur Entscheidung über Insolvenzstatus, Restschuldbefreiung, Abtretungsbeschränkung, Identität beziehungsweise Vergleich gesondert geführt. Diese Nennung ist keine abschließende Risikoliste. Die Käuferin kann aufgrund nachvollziehbarer Befunde weitere Positionen zur Einzelklärung benennen. Eine fehlende Dokumentation wird nicht durch ein unangekreuztes Datenfeld als negativer Befund bestätigt.</w:t>
      </w:r>
    </w:p>
    <w:p>
      <w:pPr>
        <w:pStyle w:val="Heading1"/>
      </w:pPr>
      <w:r>
        <w:t>13 Auseinandersetzung über Abweichungen</w:t>
      </w:r>
    </w:p>
    <w:p>
      <w:r>
        <w:t>Streitige Bestands- oder Kaufpreispositionen werden zunächst durch die benannten Projektverantwortlichen anhand der Originalbelege abgeglichen. Bleibt eine Differenz bestehen, wird sie mit beiden Positionen und der zugrunde liegenden Berechnung dokumentiert. Ein Sachverständiger kann nur für ausdrücklich vereinbarte Rechenfragen eingeschaltet werden; rechtliche Streitfragen werden nicht ohne gesonderte Vereinbarung seiner abschließenden Entscheidung unterstellt.</w:t>
      </w:r>
    </w:p>
    <w:p>
      <w:pPr>
        <w:pStyle w:val="Heading1"/>
      </w:pPr>
      <w:r>
        <w:t>14 Abschlussunterlagen und Unterzeichnung</w:t>
      </w:r>
    </w:p>
    <w:p>
      <w:r>
        <w:t>Zum Vollzug gehören Endliste, Kaufpreisüberleitung, Abtretungserklärung, Urkundeninventar, offene Ausnahmen, Servicevereinbarung und freigegebene Kundenmitteilungen. Die Parteien protokollieren Datum, verantwortliche Personen und die tatsächlich übergebenen Fassungen. Entwurfsdateien im Datenraum ersetzen keine Unterzeichnung. Beatrice Ashdown soll für die Verkäuferin zeichnen, Selma Korngut und Arvid Hummel sollen für die Käuferin gemeinsam zeichnen; ihre Befugnisse sind noch nachzuweisen.</w:t>
      </w:r>
    </w:p>
    <w:sectPr w:rsidR="00FC693F" w:rsidRPr="0006063C" w:rsidSect="00034616">
      <w:footerReference w:type="default" r:id="rId9"/>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Projekt Lindenbogen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Ashcombe Projektteam Erfurt</dc:creator>
  <cp:keywords/>
  <dc:description>generated by python-docx</dc:description>
  <cp:lastModifiedBy/>
  <cp:revision>1</cp:revision>
  <dcterms:created xsi:type="dcterms:W3CDTF">2026-10-10T12:00:00Z</dcterms:created>
  <dcterms:modified xsi:type="dcterms:W3CDTF">2026-10-10T12:00:00Z</dcterms:modified>
  <cp:category/>
</cp:coreProperties>
</file>