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Ashcombe Personal Bank plc, Niederlassung Erfurt</w:t>
        <w:br/>
        <w:t>Lindenbogen 18, 99084 Erfurt</w:t>
      </w:r>
    </w:p>
    <w:p>
      <w:pPr>
        <w:pStyle w:val="Title"/>
      </w:pPr>
      <w:r>
        <w:t>Verbraucherdarlehensvertrag APB-0005</w:t>
      </w:r>
    </w:p>
    <w:p>
      <w:r>
        <w:t>Vertrag zwischen Ashcombe Personal Bank plc, Niederlassung Erfurt und Ottilie Haberkamm über 30.000,00 EUR. Vertragsabschrift aus dem Erfurter Bestandsarchiv; vereinbarter Zahlungsbeginn 31.10.2023.</w:t>
      </w:r>
    </w:p>
    <w:p>
      <w:pPr>
        <w:pStyle w:val="Heading1"/>
      </w:pPr>
      <w:r>
        <w:t>1 Vertragsparteien und Darlehenszweck</w:t>
      </w:r>
    </w:p>
    <w:p>
      <w:r>
        <w:t>Darlehensgeberin ist Ashcombe Personal Bank plc, Niederlassung Erfurt, Lindenbogen 18, 99084 Erfurt. Die Erfurter Niederlassung handelt für die englische Gesellschaft und ist keine eigenständige juristische Person. Ansprechpartner für diesen Vertrag ist Tjark Wendel, service@ashcombe.example.invalid. Darlehensnehmer ist Ottilie Haberkamm, Kirschanger 4, 99091 Erfurt. Der angegebene Beruf lautet Rentnerin.</w:t>
      </w:r>
    </w:p>
    <w:p>
      <w:r>
        <w:t>Das Darlehen dient folgendem privaten Zweck: Badumbau. Eine grundpfandrechtliche Besicherung wird nicht vereinbart. Die Nutzung als laufende Geschäftskreditlinie ist ausgeschlossen. Der Darlehensnehmer erklärt seine Angaben zu Einkommen und bestehenden Zahlungspflichten nach bestem Wissen; die Bank hat die eingereichten Unterlagen vor ihrer Kreditentscheidung gesondert zu prüfen.</w:t>
      </w:r>
    </w:p>
    <w:p>
      <w:pPr>
        <w:pStyle w:val="Heading1"/>
      </w:pPr>
      <w:r>
        <w:t>2 Auszahlung und Nettodarlehensbetrag</w:t>
      </w:r>
    </w:p>
    <w:p>
      <w:r>
        <w:t>Der Nettodarlehensbetrag beträgt 30.000,00 EUR. Die Auszahlung erfolgt am 30.09.2023 in einer Summe nach beiderseitiger Unterzeichnung und Freigabe der angegebenen Empfangsverbindung. Die Auszahlungsreferenz lautet AZ-APB-0005. Es werden keine Vermittlungs- oder Abschlusskosten einbehalten. Eine Kreditrestschuldversicherung ist weder Voraussetzung noch Bestandteil dieses Darlehens.</w:t>
      </w:r>
    </w:p>
    <w:p>
      <w:r>
        <w:t>Der Darlehensnehmer kann ausbleibende oder abweichende Auszahlung schriftlich beanstanden. Eine Auszahlung an Dritte bedarf eines gesonderten dokumentierten Zahlungsauftrags. Eine interne Buchung ersetzt den tatsächlichen Auszahlungsnachweis nicht.</w:t>
      </w:r>
    </w:p>
    <w:p>
      <w:pPr>
        <w:pStyle w:val="Heading1"/>
      </w:pPr>
      <w:r>
        <w:t>3 Laufzeit und Tilgung</w:t>
      </w:r>
    </w:p>
    <w:p>
      <w:r>
        <w:t>Die Laufzeit beginnt mit der Auszahlung und endet bei vertragsgemäßer Durchführung am 30.09.2028. Der Darlehensnehmer leistet 60 monatliche Tilgungsanteile von jeweils 500,00 EUR; der erste ist am 31.10.2023, der letzte am 30.09.2028 fällig. Hinzu kommen die für den jeweiligen Monat nach Nummer 4 berechneten Zinsen. Die monatliche Gesamtzahlung sinkt deshalb bei planmäßigem Verlauf. Es handelt sich nicht um eine gleichbleibende Annuität.</w:t>
      </w:r>
    </w:p>
    <w:p>
      <w:r>
        <w:t>Die Zahlungen werden jeweils am letzten Kalendertag des Monats fällig. Zahlungsweg und Einzugsermächtigung werden gesondert vereinbart. Der Darlehensnehmer kann jederzeit einen Tilgungsplan mit den künftigen Fälligkeiten und der Aufteilung in Kapital und Zinsen verlangen. Abweichende Stundungen oder Zahlpausen werden mit Bezug auf die Vertragsnummer dokumentiert; ein Systemkennzeichen allein verändert den Vertrag nicht.</w:t>
      </w:r>
    </w:p>
    <w:p>
      <w:pPr>
        <w:pStyle w:val="Heading1"/>
      </w:pPr>
      <w:r>
        <w:t>4 Zinsen und Gesamtbetrag</w:t>
      </w:r>
    </w:p>
    <w:p>
      <w:r>
        <w:t>Der gebundene Sollzinssatz beträgt für die gesamte vereinbarte Laufzeit 4.20 Prozent jährlich. Bei monatlicher Zahlung beträgt der Zins für einen vollen Vertragsmonat ein Zwölftel dieses Satzes, angewandt auf den Kapitalsaldo zu Monatsbeginn. Einzelne Zinsbeträge werden kaufmännisch auf Cent gerundet. Der effektive Jahreszins beträgt bei planmäßiger Auszahlung und Rückzahlung 4.28 Prozent. Berechnungsannahmen sind vollständige Auszahlung am 30.09.2023, 60 Monatszahlungen und das Fehlen zusätzlicher Pflichtkosten.</w:t>
      </w:r>
    </w:p>
    <w:p>
      <w:r>
        <w:t>Bei unverändert planmäßiger Durchführung beträgt der Gesamtbetrag aller Zahlungen 33.202,50 EUR. Davon entfallen 3.202,50 EUR auf Zinsen. Die erste Zahlung beträgt 605,00 EUR. Dieser Gesamtbetrag ist kein jederzeit fälliger Ablösebetrag. Sonderzahlungen, Stundungen und tatsächliche Abweichungen vom Zahlungsplan können den späteren Zahlungsstrom verändern.</w:t>
      </w:r>
    </w:p>
    <w:p>
      <w:pPr>
        <w:pStyle w:val="Heading1"/>
      </w:pPr>
      <w:r>
        <w:t>5 Zahlungszuordnung und Kontoauszüge</w:t>
      </w:r>
    </w:p>
    <w:p>
      <w:r>
        <w:t>Die Bank weist in Kontoauszügen Kapital, Zinsen, Kosten und eingegangene Zahlungen getrennt aus. Beanstandete Kosten werden als eigene Position kenntlich gemacht. Eine Kundenzahlung wird nicht allein wegen eines Verkaufs oder eines Servicerwechsels nochmals verlangt. Für Zahlungen mit ausdrücklicher Tilgungsbestimmung ist deren Wirksamkeit zu prüfen; gesetzliche Zuordnungsregeln bleiben unberührt.</w:t>
      </w:r>
    </w:p>
    <w:p>
      <w:r>
        <w:t>Der Darlehensnehmer kann Buchungsfehler unter Angabe des Zahlungsdatums und eines Belegs melden. Die Bank prüft auch Zahlungseingänge auf Sammelkonten. Eine Saldenmitteilung enthält kein Anerkenntnis des Kunden und ersetzt weder eine Fälligkeitsprüfung noch einen Vollstreckungstitel.</w:t>
      </w:r>
    </w:p>
    <w:p>
      <w:pPr>
        <w:pStyle w:val="Heading1"/>
      </w:pPr>
      <w:r>
        <w:t>6 Sondertilgung und Sicherheiten</w:t>
      </w:r>
    </w:p>
    <w:p>
      <w:r>
        <w:t>Freiwillige Sondertilgungen sind jederzeit ohne gesondertes Entgelt möglich. Sie vermindern nach Eingang den Kapitalsaldo und damit die künftig hierauf anfallenden Zinsen. Die Bank erstellt auf Anfrage eine Abrechnung zu einem benannten Ablösedatum. Unbekannte spätere Zahlungen oder Kosten werden nicht als bereits feststehende Position in eine Abrechnung aufgenommen.</w:t>
      </w:r>
    </w:p>
    <w:p>
      <w:r>
        <w:t>Es werden keine Sicherheiten bestellt. Ein Zugriff auf Arbeitseinkommen ist nicht vereinbart.</w:t>
      </w:r>
    </w:p>
    <w:p>
      <w:pPr>
        <w:pStyle w:val="Heading1"/>
      </w:pPr>
      <w:r>
        <w:t>7 Zahlungsstörung und Beendigung</w:t>
      </w:r>
    </w:p>
    <w:p>
      <w:r>
        <w:t>Bei Zahlungsschwierigkeiten soll der Darlehensnehmer frühzeitig mit der Filiale Kontakt aufnehmen. Eine Nachfristsetzung oder Kündigung muss die einschlägigen gesetzlichen Voraussetzungen erfüllen. Weder das bloße Vorliegen zweier unbezahlter Buchungspositionen noch ein Verkauf der Forderung genügt für sich genommen als Kündigungsgrund. Die Bank dokumentiert Zugang und Inhalt ihrer Erklärungen sowie angebotene Lösungsgespräche.</w:t>
      </w:r>
    </w:p>
    <w:p>
      <w:r>
        <w:t>Weitere Zinsen und Kosten bei Verzug werden nur nach den tatsächlich einschlägigen gesetzlichen und vertraglichen Voraussetzungen verlangt und nachvollziehbar berechnet. Eine interne Aufwandspauschale wird mit dieser Klausel nicht vereinbart. Eine titulierte Teilforderung wird nicht ohne gesonderte Grundlage auf andere Forderungsbestandteile ausgeweitet.</w:t>
      </w:r>
    </w:p>
    <w:p>
      <w:pPr>
        <w:pStyle w:val="Heading1"/>
      </w:pPr>
      <w:r>
        <w:t>8 Informationen zum Widerruf</w:t>
      </w:r>
    </w:p>
    <w:p>
      <w:r>
        <w:t>Der Darlehensnehmer kann seine Vertragserklärung innerhalb von 14 Tagen ohne Angabe von Gründen widerrufen. Der Lauf der Widerrufsfrist setzt den Vertragsschluss und den Erhalt der gesetzlich erforderlichen Vertragsunterlagen und Pflichtangaben voraus. Die vollständige, dem Vertrag zugeordnete Widerrufsinformation wird auf einem dauerhaften Datenträger zusammen mit der Vertragsabschrift übergeben. Zur Wahrung der Frist genügt die rechtzeitige Absendung des Widerrufs, wenn die Erklärung auf einem dauerhaften Datenträger erfolgt.</w:t>
      </w:r>
    </w:p>
    <w:p>
      <w:r>
        <w:t>Der Widerruf ist an Ashcombe Personal Bank plc, Niederlassung Erfurt, Lindenbogen 18, 99084 Erfurt, widerruf@ashcombe.example.invalid, zu richten. Nach einem wirksamen Widerruf sind empfangene Leistungen nach Maßgabe der anwendbaren Vorschriften zurückzugewähren. Für den Zeitraum zwischen Auszahlung und Rückzahlung wird bei vollständiger Auszahlung ein täglicher Zinsbetrag von 3,45 EUR ausgewiesen. Die Rückzahlung hat spätestens innerhalb von 30 Tagen nach Absendung der Widerrufserklärung zu erfolgen. Gesetzliche Rechte aus einem verbundenen Vertrag werden durch diese Darstellung nicht ausgeschlossen.</w:t>
      </w:r>
    </w:p>
    <w:p>
      <w:pPr>
        <w:pStyle w:val="Heading1"/>
      </w:pPr>
      <w:r>
        <w:t>9 Übertragung und Kommunikation</w:t>
      </w:r>
    </w:p>
    <w:p>
      <w:r>
        <w:t>Die Bank darf Forderungen aus diesem Vertrag im Rahmen der gesetzlichen und vertraglichen Voraussetzungen übertragen. Die bestehenden Einwendungen und vereinbarten Konditionen werden durch einen Gläubigerwechsel nicht einseitig geändert. Eine Übertragung sämtlicher Vertragspflichten ist mit dieser Erklärung nicht vereinbart.</w:t>
      </w:r>
    </w:p>
    <w:p>
      <w:r>
        <w:t>Die Bank informiert über einen Wechsel des Forderungsinhabers mit eindeutiger Bezeichnung des neuen Gläubigers und einem überprüfbaren Zahlungsweg. Der Darlehensnehmer darf bei widersprüchlichen Mitteilungen einen Nachweis verlangen. Zugangsdaten oder eine Portal-PIN werden für die Überleitungsmitteilung nicht angefordert. Gesetzliche Informations- und Datenschutzpflichten werden gesondert erfüllt.</w:t>
      </w:r>
    </w:p>
    <w:p>
      <w:pPr>
        <w:pStyle w:val="Heading1"/>
      </w:pPr>
      <w:r>
        <w:t>10 Beschwerden und Vertragsunterlagen</w:t>
      </w:r>
    </w:p>
    <w:p>
      <w:r>
        <w:t>Beschwerden können an beschwerde@ashcombe.example.invalid oder schriftlich an die Erfurter Filiale gerichtet werden. Die Bank antwortet unter Bezug auf die konkrete Vertragsnummer. Eine Beschwerde ersetzt keine fristgebundene Erklärung. Zuständige Aufsichts- und außergerichtliche Streitbeilegungsstellen sowie die Zugangsvoraussetzungen ergeben sich aus dem gesondert übergebenen Informationsblatt in der damals geltenden Fassung; dieses Blatt ist Bestandteil der ausgegebenen Vertragsmappe.</w:t>
      </w:r>
    </w:p>
    <w:p>
      <w:r>
        <w:t>Änderungen werden so dokumentiert, dass ihr Inhalt, ihre Beteiligten und ihr Zeitpunkt nachvollziehbar bleiben. Der Kunde erhält eine Vertragsabschrift. Die Parteien erklären mit ihrer Unterzeichnung nicht den Zugang von Unterlagen, die ihnen tatsächlich nicht ausgehändigt oder übermittelt wurden.</w:t>
      </w:r>
    </w:p>
    <w:p>
      <w:pPr>
        <w:pStyle w:val="Heading1"/>
      </w:pPr>
      <w:r>
        <w:t>11 Unterzeichnung und Ausgabe</w:t>
      </w:r>
    </w:p>
    <w:p>
      <w:r>
        <w:t>Erfurt, 25.09.2023. Für die Bank: Tjark Wendel. Darlehensnehmer: Ottilie Haberkamm. Die archivierte Abschrift gibt die Namen der Unterzeichnenden als Text wieder. Die Originalsignaturen und gegebenenfalls elektronischen Signaturprotokolle sind gesondert aufzubewahren.</w:t>
      </w:r>
    </w:p>
    <w:p>
      <w:r>
        <w:t>Archivvermerk: Die Vertragsabschrift wird mit der Vertragsnummer geführt; Hinweise auf gesonderte Anlagen belegen deren tatsächlichen Zugang nicht.</w:t>
      </w:r>
    </w:p>
    <w:sectPr w:rsidR="00FC693F" w:rsidRPr="0006063C" w:rsidSect="00034616">
      <w:footerReference w:type="default" r:id="rId9"/>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Projekt Lindenbogen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Ashcombe Projektteam Erfurt</dc:creator>
  <cp:keywords/>
  <dc:description>generated by python-docx</dc:description>
  <cp:lastModifiedBy/>
  <cp:revision>1</cp:revision>
  <dcterms:created xsi:type="dcterms:W3CDTF">2026-10-10T12:00:00Z</dcterms:created>
  <dcterms:modified xsi:type="dcterms:W3CDTF">2026-10-10T12:00:00Z</dcterms:modified>
  <cp:category/>
</cp:coreProperties>
</file>