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Gap-Analyse Datenraum — Fehlende Unterlagen und Erwartungen</w:t>
      </w:r>
    </w:p>
    <w:p>
      <w:pPr>
        <w:jc w:val="left"/>
      </w:pPr>
      <w:r>
        <w:rPr>
          <w:b/>
        </w:rPr>
        <w:t>Aktenzeichen:</w:t>
      </w:r>
      <w:r>
        <w:t xml:space="preserve"> MWK/2024/SIL-001</w:t>
      </w:r>
    </w:p>
    <w:p>
      <w:pPr>
        <w:jc w:val="left"/>
      </w:pPr>
      <w:r>
        <w:rPr>
          <w:b/>
        </w:rPr>
        <w:t>Dokument-Nr.:</w:t>
      </w:r>
      <w:r>
        <w:t xml:space="preserve"> DR-GAP-001/SIL</w:t>
      </w:r>
    </w:p>
    <w:p>
      <w:pPr>
        <w:jc w:val="left"/>
      </w:pPr>
      <w:r>
        <w:rPr>
          <w:b/>
        </w:rPr>
        <w:t>Datum:</w:t>
      </w:r>
      <w:r>
        <w:t xml:space="preserve"> 28. November 2024</w:t>
      </w:r>
    </w:p>
    <w:p>
      <w:pPr>
        <w:jc w:val="left"/>
      </w:pPr>
      <w:r>
        <w:rPr>
          <w:b/>
        </w:rPr>
        <w:t>Verfasserin:</w:t>
      </w:r>
      <w:r>
        <w:t xml:space="preserve"> Sophie Maurer, Paralegal / Katharina Pfeiffer, Senior Associate</w:t>
      </w:r>
    </w:p>
    <w:p>
      <w:pPr>
        <w:jc w:val="left"/>
      </w:pPr>
      <w:r>
        <w:rPr>
          <w:b/>
        </w:rPr>
        <w:t>Adressat:</w:t>
      </w:r>
      <w:r>
        <w:t xml:space="preserve"> Dr. Markus Weidemann / Seller Counsel Dr. Bäumler</w:t>
      </w:r>
    </w:p>
    <w:p>
      <w:pPr>
        <w:jc w:val="left"/>
      </w:pPr>
      <w:r>
        <w:rPr>
          <w:b/>
        </w:rPr>
        <w:t>Betreff:</w:t>
      </w:r>
      <w:r>
        <w:t xml:space="preserve"> Gap-Analyse nach Sichtung des Virtual Data Room (Phase 2, Stand 28.11.2024)</w:t>
      </w:r>
    </w:p>
    <w:p/>
    <w:p>
      <w:pPr>
        <w:pStyle w:val="Heading2"/>
      </w:pPr>
      <w:r>
        <w:rPr>
          <w:rFonts w:ascii="Times New Roman" w:hAnsi="Times New Roman"/>
        </w:rPr>
        <w:t>1. Hintergrund</w:t>
      </w:r>
    </w:p>
    <w:p>
      <w:pPr>
        <w:jc w:val="left"/>
      </w:pPr>
      <w:r>
        <w:t>Nachdem Eagle Capital Partners (ECP) am 25. November 2024 Zugang zum Virtual Data Room Phase 2 erhalten hat, hat das DD-Team die vorhandenen Unterlagen gesichtet und mit dem erwarteten Dokumentenumfang (VDR-Index v1.0, übermittelt von Meridian am 18. November 2024) abgeglichen. Dieser Vermerk dokumentiert alle Lücken, die bis zum 28. November 2024 (Abend) festgestellt wurden, und nennt Deadlines und Eskalationspfade.</w:t>
      </w:r>
    </w:p>
    <w:p/>
    <w:p>
      <w:pPr>
        <w:pStyle w:val="Heading2"/>
      </w:pPr>
      <w:r>
        <w:rPr>
          <w:rFonts w:ascii="Times New Roman" w:hAnsi="Times New Roman"/>
        </w:rPr>
        <w:t>2. Kritische Fehlende Dokumente (Priorität HOCH — Closing-Blocker)</w:t>
      </w:r>
    </w:p>
    <w:p>
      <w:pPr>
        <w:jc w:val="left"/>
      </w:pPr>
      <w:r>
        <w:t>Diese Unterlagen sind für die Abgabe eines vollständigen Binding Offer oder für die Signing-/Closing-Bedingungen zwingend erforderlich: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Fehlende Unterlage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Erwartetes VDR-Kapitel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Aktuelle notariell beglaubigte Gesellschafterliste der Solaris Industries 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01_Corporate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Letzter Eintrag HRB stammt aus 2022; aktuell benötigt (§ 67 Abs. 1 AktG)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UBO-Nachweis Harald Grünwald-Konrad (Stamm II)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01_Corporate/UBO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Compliance-relevant; Sanctions-Screening hängt hieran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21.10.2024 (</w:t>
            </w:r>
            <w:r>
              <w:rPr>
                <w:rFonts w:ascii="Times New Roman" w:hAnsi="Times New Roman"/>
                <w:b/>
                <w:sz w:val="20"/>
              </w:rPr>
              <w:t>ÜBERFÄLLIG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Hauptkundenvertrag Kunde A (vollständig inkl. aller Anlagen)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03_Commercial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Head Sheet vorhanden; Anhänge fehlen; Change-of-Control-Klausel ist wesentlich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IP-Abtretungsvertrag Gründer Grünwald (2018) — Übertragung Kernpatente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06_IP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Kernpatente sollen 2018 von Gründer persönlich auf Holding übertragen worden sein; Abtretungsurkunde fehlt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Notarieller Ausgliederungsvertrag Solaris Service GmbH (Carve-out-Vorbereitungsmaßnahme)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01_Corporate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Ausgliederung soll bis Signing abgeschlossen sein; Entwurf 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Jahresabschluss 2023 (Solaris Industries AG, geprüft)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02_Financial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Noch nicht vorhanden; gesetzliche Frist abgelaufen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SOFORT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Wichtige Fehlende Dokumente (Priorität MITTEL — DD-relevant)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Fehlende Unterlage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Erwartetes VDR-Kapitel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Vollständige Arbeitnehmerüberlassungsverträge (Leiharbeiter)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05_Employment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Liste, keine Verträge; relevant für Betriebsübergang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Exportgenehmigungen 2022–2024 (soweit erteilt)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07_Regulatory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Hinweise auf BAFA-Anträge aus CR; offizielle Genehmigungen fehlen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Leasingverträge Produktionsstandorte Augsburg und Gera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08_Real_Estate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kurze Vertragsübersichten vorhanden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Vollständige Steuerbescheide 2019–2023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04_Tax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2020 und 2021 fehlen; 2023 ausstehend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Transferpreisdokumentation (Masterdatei)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CR-004 (Clean Room)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Eingestellt im CR; Lesbarkeit prüfen (verschlüsseltes PDF)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29.11.2024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Betriebsvereinbarungen (vollständig)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05_Employment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von 7 vorhanden; 4 fehlen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06.12.2024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G-013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Geschäftsführer-Anstellungsverträge Tochtergesellschaften (IT, Singapur)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05_Employment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 enthalten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06.12.2024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Geringe Dringlichkeit (Priorität NIEDRIG — vollständiges Bild)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Fehlende Unterlage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Erwartetes VDR-Kapitel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G-014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Protokolle Aufsichtsratssitzungen 2020–2023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01_Corporate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15.12.2024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G-015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Versicherungspolicen (vollständig)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09_Insurance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15.12.2024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G-016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Kundenzufriedenheitsberichte / NPS-Daten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03_Commercial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15.12.2024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G-017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Kapitalflussrechnung 2022 (ergänzend)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02_Financial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10.12.2024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G-018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Aktueller Stellenplan / Organigramm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05_Employment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10.12.2024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Eskalation und Kommunikation</w:t>
      </w:r>
    </w:p>
    <w:p>
      <w:pPr>
        <w:pStyle w:val="ListBullet"/>
      </w:pPr>
      <w:r>
        <w:rPr>
          <w:b/>
        </w:rPr>
        <w:t>Überfällige Punkte (G-002):</w:t>
      </w:r>
      <w:r>
        <w:t xml:space="preserve"> Nochmaliges schriftliches Reminder an Seller Counsel Dr. Bäumler per E-Mail am 28.11.2024. Fristsetzung auf 02.12.2024; bei weiterer Nicht-Erfüllung: Eskalation an Finanzberater Meridian.</w:t>
      </w:r>
    </w:p>
    <w:p>
      <w:pPr>
        <w:pStyle w:val="ListBullet"/>
      </w:pPr>
      <w:r>
        <w:rPr>
          <w:b/>
        </w:rPr>
        <w:t>G-006 (Jahresabschluss 2023):</w:t>
      </w:r>
      <w:r>
        <w:t xml:space="preserve"> Käuferin kann kein finales Angebot ohne Jahresabschluss 2023 abgeben. Ohne diesen muss die Bindende-Angebots-Frist um 14 Tage verschoben werden. Käuferin wird Finanzberater offiziell hierüber in Kenntnis setzen.</w:t>
      </w:r>
    </w:p>
    <w:p>
      <w:pPr>
        <w:pStyle w:val="ListBullet"/>
      </w:pPr>
      <w:r>
        <w:rPr>
          <w:b/>
        </w:rPr>
        <w:t>G-003 (Hauptkundenvertrag A vollständig):</w:t>
      </w:r>
      <w:r>
        <w:t xml:space="preserve"> Aktuell können weder der Change-of-Control-Consent noch die Restlaufzeit verlässlich bewertet werden. DD-Bewertung ist bis zur Vorlage vorläufig.</w:t>
      </w:r>
    </w:p>
    <w:p/>
    <w:p>
      <w:pPr>
        <w:pStyle w:val="Heading2"/>
      </w:pPr>
      <w:r>
        <w:rPr>
          <w:rFonts w:ascii="Times New Roman" w:hAnsi="Times New Roman"/>
        </w:rPr>
        <w:t>6. Gesamtbewertung Datenraum-Vollständigkeit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Kapitel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Vollständigkeit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Kommentar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 Corporate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Gesellschafterliste, UBO, Ausgliederungsvertrag fehlen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 Financial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2023 fehlt; 2020/2021 Steuerbescheide fehlen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 Commercial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Hauptkundenvertrag A unvollständig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 Tax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Transferpreisdokumentation im CR; Bescheide fehlen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 Employment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Mehrere Betriebsvereinbarungen, Anstellungsverträge fehlen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 IP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IP-Abtretungsvertrag 2018 fehlt; 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 Regulatory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Exportgenehmigungen fehlen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 Real Estate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Leasingverträge unvollständig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Clean Room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83 %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CR-005 ausstehend</w:t>
            </w:r>
          </w:p>
        </w:tc>
      </w:tr>
    </w:tbl>
    <w:p>
      <w:pPr>
        <w:jc w:val="left"/>
      </w:pPr>
      <w:r>
        <w:rPr>
          <w:b/>
        </w:rPr>
        <w:t>Gesamtdatenraum-Vollständigkeit: ca. 63 % — UNZUREICHEND für Binding Offer.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