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Expert Call-Protokoll — Management Presentation und Expert Calls</w:t>
      </w:r>
    </w:p>
    <w:p>
      <w:pPr>
        <w:jc w:val="left"/>
      </w:pPr>
      <w:r>
        <w:rPr>
          <w:b/>
        </w:rPr>
        <w:t>Aktenzeichen:</w:t>
      </w:r>
      <w:r>
        <w:t xml:space="preserve"> MWK/2024/SIL-001</w:t>
      </w:r>
    </w:p>
    <w:p>
      <w:pPr>
        <w:jc w:val="left"/>
      </w:pPr>
      <w:r>
        <w:rPr>
          <w:b/>
        </w:rPr>
        <w:t>Dokument-Nr.:</w:t>
      </w:r>
      <w:r>
        <w:t xml:space="preserve"> QA-CALL-001/SIL</w:t>
      </w:r>
    </w:p>
    <w:p>
      <w:pPr>
        <w:jc w:val="left"/>
      </w:pPr>
      <w:r>
        <w:rPr>
          <w:b/>
        </w:rPr>
        <w:t>Datum:</w:t>
      </w:r>
      <w:r>
        <w:t xml:space="preserve"> 4. Dezember 2024</w:t>
      </w:r>
    </w:p>
    <w:p>
      <w:pPr>
        <w:jc w:val="left"/>
      </w:pPr>
      <w:r>
        <w:rPr>
          <w:b/>
        </w:rPr>
        <w:t>Verfasserin:</w:t>
      </w:r>
      <w:r>
        <w:t xml:space="preserve"> Katharina Pfeiffer, Senior Associate</w:t>
      </w:r>
    </w:p>
    <w:p>
      <w:pPr>
        <w:jc w:val="left"/>
      </w:pPr>
      <w:r>
        <w:rPr>
          <w:b/>
        </w:rPr>
        <w:t>Teilnehmer (Käuferseite):</w:t>
      </w:r>
      <w:r>
        <w:t xml:space="preserve"> Dr. Markus Weidemann, Katharina Pfeiffer, Felix Brandl (ECP), Dr. Sabine Roth</w:t>
      </w:r>
    </w:p>
    <w:p>
      <w:pPr>
        <w:jc w:val="left"/>
      </w:pPr>
      <w:r>
        <w:rPr>
          <w:b/>
        </w:rPr>
        <w:t>Teilnehmer (Verkäuferseite):</w:t>
      </w:r>
      <w:r>
        <w:t xml:space="preserve"> Friedrich Grünwald (CEO), Thomas Bergmann (CFO), Dr. Anna Seifert (AR-Vorsitz), Rolf Dinkelbach (Meridian)</w:t>
      </w:r>
    </w:p>
    <w:p>
      <w:pPr>
        <w:jc w:val="left"/>
      </w:pPr>
      <w:r>
        <w:rPr>
          <w:b/>
        </w:rPr>
        <w:t>Format:</w:t>
      </w:r>
      <w:r>
        <w:t xml:space="preserve"> Video-Call (Zoom, 3 Stunden), Augsburg-Delegation</w:t>
      </w:r>
    </w:p>
    <w:p>
      <w:pPr>
        <w:jc w:val="left"/>
      </w:pPr>
      <w:r>
        <w:rPr>
          <w:b/>
        </w:rPr>
        <w:t>Betreff:</w:t>
      </w:r>
      <w:r>
        <w:t xml:space="preserve"> Protokoll Management Presentation 4. Dezember 2024</w:t>
      </w:r>
    </w:p>
    <w:p/>
    <w:p>
      <w:pPr>
        <w:pStyle w:val="Heading2"/>
      </w:pPr>
      <w:r>
        <w:rPr>
          <w:rFonts w:ascii="Times New Roman" w:hAnsi="Times New Roman"/>
        </w:rPr>
        <w:t>1. Allgemeines</w:t>
      </w:r>
    </w:p>
    <w:p>
      <w:pPr>
        <w:jc w:val="left"/>
      </w:pPr>
      <w:r>
        <w:t>Die Management Presentation fand am 4. Dezember 2024 von 10:00 bis 13:00 Uhr statt. Anschließend wurde bis 14:30 Uhr ein Expert Call (operative Fragen) mit dem COO der Gesellschaft (Michael Krause, nicht am Hauptcall teilgenommen) und dem Leiter Exportkontrolle/Compliance (Rainer Hollmann) geführt. Das vorliegende Protokoll gibt die wesentlichen Aussagen und erkenntnisrelevanten Aspekte wieder. Es handelt sich um ein inhaltsgetreues, nicht wörtliches Protokoll.</w:t>
      </w:r>
    </w:p>
    <w:p/>
    <w:p>
      <w:pPr>
        <w:pStyle w:val="Heading2"/>
      </w:pPr>
      <w:r>
        <w:rPr>
          <w:rFonts w:ascii="Times New Roman" w:hAnsi="Times New Roman"/>
        </w:rPr>
        <w:t>2. Hauptaussagen Management Presentation</w:t>
      </w:r>
    </w:p>
    <w:p>
      <w:pPr>
        <w:pStyle w:val="Heading3"/>
      </w:pPr>
      <w:r>
        <w:rPr>
          <w:rFonts w:ascii="Times New Roman" w:hAnsi="Times New Roman"/>
        </w:rPr>
        <w:t>2.1 Friedrich Grünwald (CEO) — Strategische Einordnung</w:t>
      </w:r>
    </w:p>
    <w:p>
      <w:pPr>
        <w:pStyle w:val="ListBullet"/>
      </w:pPr>
      <w:r>
        <w:t>Grünwald erläuterte, dass die Entscheidung zum Verkauf der Sparte PDS von der Familie nach einem mehrjährigen Strategieprozess getroffen wurde; Hintergrund sei die strategische Fokussierung der Holding auf das Kerngeschäft "Solarmodule" (nicht Teil dieser Transaktion).</w:t>
      </w:r>
    </w:p>
    <w:p>
      <w:pPr>
        <w:pStyle w:val="ListBullet"/>
      </w:pPr>
      <w:r>
        <w:t>Grünwald betonte die Kontinuität des Managementteams post-Closing. Er selbst werde nicht im Unternehmen verbleiben; COO Michael Krause habe Bereitschaft signalisiert, unter dem neuen Eigentümer weiter tätig zu sein.</w:t>
      </w:r>
    </w:p>
    <w:p>
      <w:pPr>
        <w:pStyle w:val="ListBullet"/>
      </w:pPr>
      <w:r>
        <w:t>Auf die Frage nach Interesse Dritter (andere Bieter) antwortete Grünwald ausweichend; Meridian unterbrach und verwies auf die Prozessregeln.</w:t>
      </w:r>
    </w:p>
    <w:p>
      <w:pPr>
        <w:pStyle w:val="Heading3"/>
      </w:pPr>
      <w:r>
        <w:rPr>
          <w:rFonts w:ascii="Times New Roman" w:hAnsi="Times New Roman"/>
        </w:rPr>
        <w:t>2.2 Thomas Bergmann (CFO) — Finanzielle Darstellung</w:t>
      </w:r>
    </w:p>
    <w:p>
      <w:pPr>
        <w:pStyle w:val="ListBullet"/>
      </w:pPr>
      <w:r>
        <w:rPr>
          <w:b/>
        </w:rPr>
        <w:t>Umsatz 2024 YTD (Jan–Sep):</w:t>
      </w:r>
      <w:r>
        <w:t xml:space="preserve"> EUR 158,3 Mio. (+4,2 % ggü. Vorjahr)</w:t>
      </w:r>
    </w:p>
    <w:p>
      <w:pPr>
        <w:pStyle w:val="ListBullet"/>
      </w:pPr>
      <w:r>
        <w:rPr>
          <w:b/>
        </w:rPr>
        <w:t>Bereinigtes EBITDA 2024 YTD:</w:t>
      </w:r>
      <w:r>
        <w:t xml:space="preserve"> EUR 28,7 Mio. (Marge 18,1 %)</w:t>
      </w:r>
    </w:p>
    <w:p>
      <w:pPr>
        <w:pStyle w:val="ListBullet"/>
      </w:pPr>
      <w:r>
        <w:rPr>
          <w:b/>
        </w:rPr>
        <w:t>Bereinigungs-Items:</w:t>
      </w:r>
      <w:r>
        <w:t xml:space="preserve"> EUR 2,1 Mio. Restrukturierungskosten (Standort Gera, Q2 2024) sowie EUR 0,8 Mio. Beratungskosten M&amp;A-Prozess.</w:t>
      </w:r>
    </w:p>
    <w:p>
      <w:pPr>
        <w:pStyle w:val="ListBullet"/>
      </w:pPr>
      <w:r>
        <w:t xml:space="preserve">Auf Nachfrage zu den Verlustvorträgen: Bergmann bestätigte Verlustvorträge von ca. EUR 12 Mio., räumte aber ein, dass deren steuerliche Nutzbarkeit im Licht des geplanten Anteilserwerbs "noch offen" sei. Dr. Roth notiert: </w:t>
      </w:r>
      <w:r>
        <w:rPr>
          <w:b/>
        </w:rPr>
        <w:t>bestätigt RF-005</w:t>
      </w:r>
      <w:r>
        <w:t>.</w:t>
      </w:r>
    </w:p>
    <w:p>
      <w:pPr>
        <w:pStyle w:val="ListBullet"/>
      </w:pPr>
      <w:r>
        <w:t>Investitionsprogramm US-Tochter: USD 8 Mio. Ohio-Investition wurde im September 2024 eingeleitet; Finanzierung über konzerninterne Darlehen der Holding (kein Fremdkapital). Bergmann bestätigt, dass das Darlehen im Rahmen des Carve-out durch ECP übernommen oder getilgt werden muss (Debt-like-Item).</w:t>
      </w:r>
    </w:p>
    <w:p>
      <w:pPr>
        <w:pStyle w:val="Heading3"/>
      </w:pPr>
      <w:r>
        <w:rPr>
          <w:rFonts w:ascii="Times New Roman" w:hAnsi="Times New Roman"/>
        </w:rPr>
        <w:t>2.3 Dr. Anna Seifert (AR-Vorsitz) — Governance</w:t>
      </w:r>
    </w:p>
    <w:p>
      <w:pPr>
        <w:pStyle w:val="ListBullet"/>
      </w:pPr>
      <w:r>
        <w:t>Aufsichtsrat hat der Transaktion in der Sitzung vom 15. Oktober 2024 grundsätzlich zugestimmt (§ 179a AktG / Satzungsklausel). Beschluss liegt im VDR (01_Corporate/AR-Protokoll).</w:t>
      </w:r>
    </w:p>
    <w:p>
      <w:pPr>
        <w:pStyle w:val="ListBullet"/>
      </w:pPr>
      <w:r>
        <w:t xml:space="preserve">Arbeitnehmervertreter im AR haben die Transaktion zur Kenntnis genommen; Betriebsrat Augsburg sei informiert (nicht informiert laut Betriebsratsvorsitzenden, der sich eigenständig gemeldet hatte — </w:t>
      </w:r>
      <w:r>
        <w:rPr>
          <w:b/>
        </w:rPr>
        <w:t>potenzielle Unstimmigkeit</w:t>
      </w:r>
      <w:r>
        <w:t>, Tim Berger prüft).</w:t>
      </w:r>
    </w:p>
    <w:p/>
    <w:p>
      <w:pPr>
        <w:pStyle w:val="Heading2"/>
      </w:pPr>
      <w:r>
        <w:rPr>
          <w:rFonts w:ascii="Times New Roman" w:hAnsi="Times New Roman"/>
        </w:rPr>
        <w:t>3. Expert Call: COO Michael Krause (Operativ)</w:t>
      </w:r>
    </w:p>
    <w:p>
      <w:pPr>
        <w:jc w:val="left"/>
      </w:pPr>
      <w:r>
        <w:rPr>
          <w:b/>
        </w:rPr>
        <w:t>Beginn:</w:t>
      </w:r>
      <w:r>
        <w:t xml:space="preserve"> 13:30 Uhr, Ende: 14:30 Uhr</w:t>
      </w:r>
    </w:p>
    <w:p>
      <w:pPr>
        <w:jc w:val="left"/>
      </w:pPr>
      <w:r>
        <w:rPr>
          <w:b/>
        </w:rPr>
        <w:t>Weitere Teilnehmer:</w:t>
      </w:r>
      <w:r>
        <w:t xml:space="preserve"> Rainer Hollmann (Exportkontrolle/Compliance, Leiter)</w:t>
      </w:r>
    </w:p>
    <w:p>
      <w:pPr>
        <w:pStyle w:val="Heading3"/>
      </w:pPr>
      <w:r>
        <w:rPr>
          <w:rFonts w:ascii="Times New Roman" w:hAnsi="Times New Roman"/>
        </w:rPr>
        <w:t>3.1 Lieferkette und Dual Sourcing</w:t>
      </w:r>
    </w:p>
    <w:p>
      <w:pPr>
        <w:pStyle w:val="ListBullet"/>
      </w:pPr>
      <w:r>
        <w:t>Krause bestätigte, dass die Abhängigkeit von Halbleiter-Lieferant aus Taiwan (ca. 68 % der Chip-Bedarfe aus einer einzigen Quelle) ein bekanntes Risiko sei.</w:t>
      </w:r>
    </w:p>
    <w:p>
      <w:pPr>
        <w:pStyle w:val="ListBullet"/>
      </w:pPr>
      <w:r>
        <w:t>Dual-Sourcing-Verhandlungen mit einem europäischen Alternativlieferanten seien "weit fortgeschritten" (Phase der technischen Qualifizierung). Krause erwartet Abschluss im Q1 2025. Vertragsabschluss noch nicht erfolgt.</w:t>
      </w:r>
    </w:p>
    <w:p>
      <w:pPr>
        <w:pStyle w:val="ListBullet"/>
      </w:pPr>
      <w:r>
        <w:rPr>
          <w:b/>
        </w:rPr>
        <w:t>Bewertung:</w:t>
      </w:r>
      <w:r>
        <w:t xml:space="preserve"> Aussage ist nicht durch Datenraum verifizierbar; Q-001 im qa_register: Bitte um Nachweis des Qualifizierungsprotokolls.</w:t>
      </w:r>
    </w:p>
    <w:p>
      <w:pPr>
        <w:pStyle w:val="Heading3"/>
      </w:pPr>
      <w:r>
        <w:rPr>
          <w:rFonts w:ascii="Times New Roman" w:hAnsi="Times New Roman"/>
        </w:rPr>
        <w:t>3.2 Kunde A — Beziehungshistorie</w:t>
      </w:r>
    </w:p>
    <w:p>
      <w:pPr>
        <w:pStyle w:val="ListBullet"/>
      </w:pPr>
      <w:r>
        <w:t>Krause bestätigte: Kunde A ist der umsatzstärkste Einzelkunde (EUR 28 Mio. p.a.), Beziehung seit 2011. Es gäbe eine langjährige, persönliche Kundenbeziehung zwischen Grünwald und dem Einkaufsleiter von Kunde A.</w:t>
      </w:r>
    </w:p>
    <w:p>
      <w:pPr>
        <w:pStyle w:val="ListBullet"/>
      </w:pPr>
      <w:r>
        <w:t>Die Übertragung dieser Beziehung auf das neue Management sei nach seiner Einschätzung möglich, aber nicht trivial. CEO-Nachfolge sei daher für Kundenretention kritisch.</w:t>
      </w:r>
    </w:p>
    <w:p>
      <w:pPr>
        <w:pStyle w:val="ListBullet"/>
      </w:pPr>
      <w:r>
        <w:rPr>
          <w:b/>
        </w:rPr>
        <w:t>Bewertung:</w:t>
      </w:r>
      <w:r>
        <w:t xml:space="preserve"> Personenabhängigkeit (Key-Person-Risk) ist ein zusätzliches kommerzielles Risiko, das DD-Report erwähnen muss. Empfehlung: Retention-Paket für Krause im SPA verankern.</w:t>
      </w:r>
    </w:p>
    <w:p>
      <w:pPr>
        <w:pStyle w:val="Heading3"/>
      </w:pPr>
      <w:r>
        <w:rPr>
          <w:rFonts w:ascii="Times New Roman" w:hAnsi="Times New Roman"/>
        </w:rPr>
        <w:t>3.3 Exportkontrolle (Rainer Hollmann)</w:t>
      </w:r>
    </w:p>
    <w:p>
      <w:pPr>
        <w:pStyle w:val="ListBullet"/>
      </w:pPr>
      <w:r>
        <w:t>Hollmann bestätigte, dass die Gesellschaft für Lieferungen der PDS-800-Baureihe nach Singapur auf die Allgemeine Genehmigung AGO 001 zurückgegriffen hat, ohne Überprüfung der Länderliste.</w:t>
      </w:r>
    </w:p>
    <w:p>
      <w:pPr>
        <w:pStyle w:val="ListBullet"/>
      </w:pPr>
      <w:r>
        <w:t>Er erklärte, Singapore sei — entgegen seiner früheren Einschätzung — seit der Aktualisierung der BAFA-Liste vom 1. März 2023 nicht mehr unter AGO 001 abgedeckt.</w:t>
      </w:r>
    </w:p>
    <w:p>
      <w:pPr>
        <w:pStyle w:val="ListBullet"/>
      </w:pPr>
      <w:r>
        <w:t>Dies betrifft Lieferungen im Wert von ca. EUR 4,2 Mio. in den Jahren 2023 und 2024 (Auslieferungen vor Aktualisierung möglicherweise anders zu beurteilen).</w:t>
      </w:r>
    </w:p>
    <w:p>
      <w:pPr>
        <w:pStyle w:val="ListBullet"/>
      </w:pPr>
      <w:r>
        <w:rPr>
          <w:b/>
        </w:rPr>
        <w:t>Bewertung:</w:t>
      </w:r>
      <w:r>
        <w:t xml:space="preserve"> Bestätigt und konkretisiert RF-002. Dr. Fuchs wies darauf hin, dass eine freiwillige Selbstanzeige beim BAFA das Bußgeldrisiko reduzieren kann (§ 22 AWG). Muss vor Signing entschieden werden.</w:t>
      </w:r>
    </w:p>
    <w:p/>
    <w:p>
      <w:pPr>
        <w:pStyle w:val="Heading2"/>
      </w:pPr>
      <w:r>
        <w:rPr>
          <w:rFonts w:ascii="Times New Roman" w:hAnsi="Times New Roman"/>
        </w:rPr>
        <w:t>4. Zusammenfassung offener Fragen (zur Einspeisung in qa_register.csv)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Q-ID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Workstream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Gestellt durch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Q-003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Qualifizierungsprotokoll alternativer Halbleiterlieferant (Dual Sourcing)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Commercial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Katharina Pfeiffer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Q-004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Betriebsratsprotokoll Unterrichtung (§ 111 BetrVG): Wann genau erfolgt?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Employment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Tim Berger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Q-005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US-Darlehen Ohio-Investition: Betrag, Zinssatz, Fälligkeit (Debt-like-Item)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Financial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Roth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Q-006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Selbstanzeige BAFA: Hat Gesellschaft diese erwogen oder eingeleitet?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Regulatory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Fuchs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Q-007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Retention-Vereinbarung COO Krause: Bereitschaft? Welche Konditionen?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Employment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Fabian Köhler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Q-008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AR-Beschluss 15.10.2024: Liegt vollständiges Protokoll mit Abstimmungsergebnis vor?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Corporate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Tim Berger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Allgemeine Einschätzung</w:t>
      </w:r>
    </w:p>
    <w:p>
      <w:pPr>
        <w:jc w:val="left"/>
      </w:pPr>
      <w:r>
        <w:t>Die Management Presentation hinterlässt einen insgesamt positiven Eindruck. Das Management ist erfahren, die Zahlen sind konsistent mit dem vorläufigen Finanzmaterial. Drei Punkte verdienen besondere Aufmerksamkeit:</w:t>
      </w:r>
    </w:p>
    <w:p>
      <w:pPr>
        <w:pStyle w:val="ListNumber"/>
      </w:pPr>
      <w:r>
        <w:t xml:space="preserve">Die </w:t>
      </w:r>
      <w:r>
        <w:rPr>
          <w:b/>
        </w:rPr>
        <w:t>Personenabhängigkeit</w:t>
      </w:r>
      <w:r>
        <w:t xml:space="preserve"> zu Kunde A (CEO-Beziehung) ist stärker als erwartet und erfordert einen Retention-Plan für Schlüsselmitarbeiter als Condition.</w:t>
      </w:r>
    </w:p>
    <w:p>
      <w:pPr>
        <w:pStyle w:val="ListNumber"/>
      </w:pPr>
      <w:r>
        <w:t xml:space="preserve">Die </w:t>
      </w:r>
      <w:r>
        <w:rPr>
          <w:b/>
        </w:rPr>
        <w:t>Selbst-Offenbarung</w:t>
      </w:r>
      <w:r>
        <w:t xml:space="preserve"> der Exportkontrollproblematik durch Hollmann (ohne rechtliche Vorbereitung, offensichtlich nicht mit Seller Counsel abgestimmt) ist unerwartet. Dies zeigt entweder gute Kooperationsbereitschaft oder mangelhafte Prozesssteuerung durch Seller. In beiden Fällen: klare Freistellungsregelung erforderlich.</w:t>
      </w:r>
    </w:p>
    <w:p>
      <w:pPr>
        <w:pStyle w:val="ListNumber"/>
      </w:pPr>
      <w:r>
        <w:t xml:space="preserve">Das </w:t>
      </w:r>
      <w:r>
        <w:rPr>
          <w:b/>
        </w:rPr>
        <w:t>Darlehen der Holding</w:t>
      </w:r>
      <w:r>
        <w:t xml:space="preserve"> für die US-Investition ist als Debt-like-Item zu behandeln; dieser Betrag (USD 8 Mio.) mindert den Equity Value. ECP muss Kaufpreismodell anpassen.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