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Insiderliste — Projekt Silberfalke (Nordstern Beteiligungs SE)</w:t>
      </w:r>
    </w:p>
    <w:p>
      <w:pPr>
        <w:jc w:val="left"/>
      </w:pPr>
      <w:r>
        <w:rPr>
          <w:b/>
        </w:rPr>
        <w:t>Verfahrensname:</w:t>
      </w:r>
      <w:r>
        <w:t xml:space="preserve"> Projekt Silberfalke</w:t>
      </w:r>
    </w:p>
    <w:p>
      <w:pPr>
        <w:jc w:val="left"/>
      </w:pPr>
      <w:r>
        <w:rPr>
          <w:b/>
        </w:rPr>
        <w:t>Insiderinformation:</w:t>
      </w:r>
      <w:r>
        <w:t xml:space="preserve"> Veräußerung Solaris Industries AG an Eagle Capital Partners</w:t>
      </w:r>
    </w:p>
    <w:p>
      <w:pPr>
        <w:jc w:val="left"/>
      </w:pPr>
      <w:r>
        <w:rPr>
          <w:b/>
        </w:rPr>
        <w:t>Angelegt:</w:t>
      </w:r>
      <w:r>
        <w:t xml:space="preserve"> 15.05.2026</w:t>
      </w:r>
    </w:p>
    <w:p>
      <w:pPr>
        <w:jc w:val="left"/>
      </w:pPr>
      <w:r>
        <w:rPr>
          <w:b/>
        </w:rPr>
        <w:t>Letzte Aktualisierung:</w:t>
      </w:r>
      <w:r>
        <w:t xml:space="preserve"> 20.05.2026</w:t>
      </w:r>
    </w:p>
    <w:p>
      <w:pPr>
        <w:jc w:val="left"/>
      </w:pPr>
      <w:r>
        <w:rPr>
          <w:b/>
        </w:rPr>
        <w:t>Verantwortlich:</w:t>
      </w:r>
      <w:r>
        <w:t xml:space="preserve"> Nordstern Compliance / Dr. Kessler (externe Beratung)</w:t>
      </w:r>
    </w:p>
    <w:p>
      <w:pPr>
        <w:jc w:val="left"/>
      </w:pPr>
      <w:r>
        <w:rPr>
          <w:b/>
        </w:rPr>
        <w:t>Format:</w:t>
      </w:r>
      <w:r>
        <w:t xml:space="preserve"> Art. 18 MAR i.V.m. Anhang I DVO 2016/347</w:t>
      </w:r>
    </w:p>
    <w:p/>
    <w:p>
      <w:pPr>
        <w:pStyle w:val="Heading2"/>
      </w:pPr>
      <w:r>
        <w:rPr>
          <w:rFonts w:ascii="Times New Roman" w:hAnsi="Times New Roman"/>
        </w:rPr>
        <w:t>Insiderliste (Dealspezifische Abschnittsliste)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Nachname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Vorname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Geburtsdatum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Funktion / Arbeitgeber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Zugangsdatum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Zugriffsende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Aktualisiert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001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Ritter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Heinrich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12.03.1968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Vorstand Finanzen, Nordstern Beteiligungs SE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002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Lange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Martina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05.07.1972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Vorstand Strategie, Nordstern Beteiligungs SE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003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Vogel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Alexander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22.11.1975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GF Komplementär-GmbH, Eagle Capital Partners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004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[Partner A Nachname]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[Vorname]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Partner, Kanzlei (Käuferberatung)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005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Kessler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Ralf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18.09.1979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Counsel Kapitalmarktrecht, Kanzlei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006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Fischer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Gerald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30.01.1971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CFO, Solaris Industries AG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007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Reinhardt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Sabine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14.06.1980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HR-Direktorin, Solaris Industries AG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</w:tr>
    </w:tbl>
    <w:p>
      <w:pPr>
        <w:jc w:val="left"/>
      </w:pPr>
      <w:r>
        <w:rPr>
          <w:i/>
        </w:rPr>
        <w:t>Hinweis: Vollständige Pflichtangaben gem. Anhang I DVO EU 2016/347 (Geburtsdatum, Privatanschrift, Telefon) sind in der nichtöffentlichen Originalliste bei Nordstern Compliance hinterlegt und werden hier aus Datenschutzgründen nicht abgebildet.</w:t>
      </w:r>
    </w:p>
    <w:p/>
    <w:p>
      <w:pPr>
        <w:pStyle w:val="Heading2"/>
      </w:pPr>
      <w:r>
        <w:rPr>
          <w:rFonts w:ascii="Times New Roman" w:hAnsi="Times New Roman"/>
        </w:rPr>
        <w:t>Aufschubprotokoll (Art. 17 Abs. 4 MAR)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Entscheidung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Entscheider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Aufschub der Ad-hoc-Mitteilung beschlossen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Legitime Interessen: laufender Vertragsschluss, Verhandlungsgeheimnis; keine Irreführung des Marktes; Vertraulichkeit durch NDAs gesichert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Vorstand Ritter, Vorstand Lange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BaFin-Meldung des Aufschubs initiiert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17 Abs. 4 UAbs. 3 MAR: unverzügliche Meldung nach Veröffentlichung der Ad-hoc-Mitteilung geplant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Nordstern IR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Handelsverbot-Bestätigungen</w:t>
      </w:r>
    </w:p>
    <w:p>
      <w:pPr>
        <w:jc w:val="left"/>
      </w:pPr>
      <w:r>
        <w:t>Alle auf der Insiderliste geführten Personen haben bestätigt, dass sie bis zur Veröffentlichung der Ad-hoc-Mitteilung keine Transaktionen in Nordstern-Aktien oder -Derivaten vornehmen: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Bestätigung erhalten am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Ritter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Vogel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Partner 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Kessler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Fischer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Reinhardt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Aufbewahrungshinweis</w:t>
      </w:r>
    </w:p>
    <w:p>
      <w:pPr>
        <w:jc w:val="left"/>
      </w:pPr>
      <w:r>
        <w:t xml:space="preserve">Diese Insiderliste ist nach Schließung (bei Veröffentlichung der Ad-hoc-Mitteilung oder anderweitiger Beendigung) für mindestens </w:t>
      </w:r>
      <w:r>
        <w:rPr>
          <w:b/>
        </w:rPr>
        <w:t>5 Jahre</w:t>
      </w:r>
      <w:r>
        <w:t xml:space="preserve"> aufzubewahren und auf Anforderung der BaFin unverzüglich vorzulegen (Art. 18 Abs. 1 lit. c MAR).</w:t>
      </w:r>
    </w:p>
    <w:p/>
    <w:p>
      <w:pPr>
        <w:jc w:val="left"/>
      </w:pPr>
      <w:r>
        <w:rPr>
          <w:i/>
        </w:rPr>
        <w:t>Vertraulich — Compliance-Dokument Nordstern Beteiligungs SE | Nur für autorisierte Personen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Nordstern Beteiligungs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Nordstern Beteiligungs SE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I DVO 2016/347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