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Abschrift des handschriftlichen Notizzettels</w:t>
      </w:r>
    </w:p>
    <w:p>
      <w:pPr>
        <w:jc w:val="left"/>
      </w:pPr>
      <w:r>
        <w:t>Schreibblock Dr. Ottilie Mondsee, Eintrag vom 24.06.2026 nach der Erörterung im Verwaltungsgericht Falkenried, Saal 2.114. Der Zettel lag gefaltet zwischen der Terminsladung und meiner eigenen Liste der Hauptverhandlungstage.</w:t>
      </w:r>
    </w:p>
    <w:p>
      <w:pPr>
        <w:jc w:val="left"/>
      </w:pPr>
      <w:r>
        <w:t>Beginn 10:00 Uhr. Dr. Langenfeld sagte gleich zu Beginn, dass es heute nicht darum gehe, wer politisch oder persönlich die bessere Wahl sei. Dr. Eschenau fragte zuerst nach den Terminen, die ich tatsächlich selbst geführt habe. Frau Dr. Brückner blätterte lange in der nachgereichten Mappe. Herr Voss sagte, die Verfahren seien formal Dr. Degenhardt zugerechnet worden. Auf die Nachfrage des Gerichts bestätigte er, dass ich mehrere Termine eigenständig geführt habe.</w:t>
      </w:r>
    </w:p>
    <w:p>
      <w:pPr>
        <w:jc w:val="left"/>
      </w:pPr>
      <w:r>
        <w:t>Dann wurden die handschriftlichen Gesprächsbögen herumgereicht. Ich konnte die Wörter „zu pointiert“, „streitbar“, „sehr fachlich“ und „weniger vermittelnd“ lesen. Frau Dr. Stechlin fragte, wann diese Bögen zur Auswahlakte genommen worden seien. Darauf kam zunächst keine konkrete Datumsangabe. Beim Präsidialrat sagte Frau Dr. Brückner nur, nach ihrer Erinnerung seien die wesentlichen Unterlagen dort gewesen.</w:t>
      </w:r>
    </w:p>
    <w:p>
      <w:pPr>
        <w:jc w:val="left"/>
      </w:pPr>
      <w:r>
        <w:t>In der kurzen Unterbrechung vor dem Saal sagte Frau Dr. Stechlin zu mir, ich solle bei den Tatsachen bleiben und Besoldung sowie Familienunterlagen nicht von mir aus vertiefen. Zum Schluss sprach das Gericht eine Aussetzung der Ernennung für acht Wochen, vollständige Akteneinsicht und eine erneute Prüfung der kommissarischen Leitung an. Frau Dr. Brückner wollte das im Ministerium besprechen. Die schriftliche Stillhaltezusage, die wir bisher haben, läuft bis 31.07.2026.</w:t>
      </w:r>
    </w:p>
    <w:p>
      <w:pPr>
        <w:jc w:val="left"/>
      </w:pPr>
      <w:r>
        <w:t>Eigene Erinnerung für die Ablage: Der gelbe Umschlag mit meiner Kalenderliste ging wieder an Frau Dr. Stechlin. Die Kopie des Beurteilungsbeitrags blieb in ihrer roten Terminmappe. Ich habe dem Gericht keine Gesundheitsunterlagen übergeben.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