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Albers &amp; Fenneker Rechtsanwälte, Prinzipalmarkt 14, 48143 Münster</w:t>
      </w:r>
    </w:p>
    <w:p>
      <w:pPr>
        <w:jc w:val="left"/>
      </w:pPr>
      <w:r>
        <w:t>Aktenzeichen 26-0618-A, Hagedorn ./. Blühendes Leben</w:t>
      </w:r>
    </w:p>
    <w:p>
      <w:pPr>
        <w:jc w:val="left"/>
      </w:pPr>
      <w:r>
        <w:t>Münster, 12. Juni 2026, 14:20 Uhr</w:t>
      </w:r>
    </w:p>
    <w:p>
      <w:pPr>
        <w:pStyle w:val="Heading2"/>
      </w:pPr>
      <w:r>
        <w:rPr>
          <w:rFonts w:ascii="Times New Roman" w:hAnsi="Times New Roman"/>
        </w:rPr>
        <w:t>1 Gesprächsdaten</w:t>
      </w:r>
    </w:p>
    <w:p>
      <w:pPr>
        <w:jc w:val="left"/>
      </w:pPr>
      <w:r>
        <w:t>Eingehender Anruf von Frau Paula Kruse, Personalabteilung der Blühendes Leben GmbH, um 13:55 Uhr. Dauer etwa acht Minuten. Gespräch geführt von der Unterzeichnerin, Frau Rechtsanwältin Albers war im Termin.</w:t>
      </w:r>
    </w:p>
    <w:p>
      <w:pPr>
        <w:pStyle w:val="Heading2"/>
      </w:pPr>
      <w:r>
        <w:rPr>
          <w:rFonts w:ascii="Times New Roman" w:hAnsi="Times New Roman"/>
        </w:rPr>
        <w:t>2 Inhalt</w:t>
      </w:r>
    </w:p>
    <w:p>
      <w:pPr>
        <w:jc w:val="left"/>
      </w:pPr>
      <w:r>
        <w:t>Frau Kruse teilte mit, dass die für heute angekündigte schriftliche Stellungnahme nicht fristgerecht kommt. Der Geschäftsführer, Herr Terwelp, sei bis einschließlich 17. Juni auf einer Messe in Amsterdam und wolle die Sache selbst freigeben. Sie bat um Verständnis und stellte die Stellungnahme für den 18. oder 19. Juni in Aussicht.</w:t>
      </w:r>
    </w:p>
    <w:p>
      <w:pPr>
        <w:jc w:val="left"/>
      </w:pPr>
      <w:r>
        <w:t>Zur Sache selbst sagte sie, der Entwurf vom 26. Mai stamme aus ihrer Feder und habe die Aufgabenliste aus der Stellenbeschreibung von 2021 übernommen. Die Kürzungen seien nach einer Durchsicht durch Herrn Voß erfolgt; sie habe dazu eine Rückmeldung per E-Mail bekommen, die sie aber ohne Freigabe nicht herausgeben dürfe. Wörtlich sagte sie sinngemäß, sie habe die gekürzte Fassung nur umgesetzt und unterschrieben, weil Herr Terwelp schon im Urlaub gewesen sei und Frau Hagedorn das Zeugnis für ihre Bewerbung gebraucht habe.</w:t>
      </w:r>
    </w:p>
    <w:p>
      <w:pPr>
        <w:jc w:val="left"/>
      </w:pPr>
      <w:r>
        <w:t>Auf den Hinweis, dass die neue Arbeitgeberin am 16. Juni telefonisch eine Referenz einholen will, erklärte Frau Kruse, sie werde bis zur Freigabe durch Herrn Terwelp keine Auskünfte über Frau Hagedorn erteilen und dies auch Herrn Voß so mitteilen. Sie bestätigte auf Nachfrage, dass das Arbeitsverhältnis unverändert fortbesteht und dass gegen Frau Hagedorn keine Abmahnung vorliegt.</w:t>
      </w:r>
    </w:p>
    <w:p>
      <w:pPr>
        <w:pStyle w:val="Heading2"/>
      </w:pPr>
      <w:r>
        <w:rPr>
          <w:rFonts w:ascii="Times New Roman" w:hAnsi="Times New Roman"/>
        </w:rPr>
        <w:t>3 Weiteres Vorgehen</w:t>
      </w:r>
    </w:p>
    <w:p>
      <w:pPr>
        <w:jc w:val="left"/>
      </w:pPr>
      <w:r>
        <w:t>Frist für die Stellungnahme im Fristenkalender auf den 19. Juni notiert, Vorfrist 18. Juni. Mandantin heute per E-Mail über die Verschiebung und die zugesagte Auskunftssperre informiert. Wiedervorlage bei Frau Rechtsanwältin Albers am 15. Juni zur Vorbereitung auf den Referenztermin vom 16. Juni.</w:t>
      </w:r>
    </w:p>
    <w:p>
      <w:pPr>
        <w:jc w:val="left"/>
      </w:pPr>
      <w:r>
        <w:t>Gieseking, Rechtsanwaltsfachangestellte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Albers &amp; Fenneker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ALBERS &amp; FENNEKER RECHTSANWÄLTE</w:t>
    </w:r>
  </w:p>
  <w:p>
    <w:pPr>
      <w:jc w:val="left"/>
      <w:pBdr>
        <w:bottom w:val="single" w:sz="8" w:space="2" w:color="3B3F45"/>
      </w:pBdr>
    </w:pPr>
    <w:r>
      <w:rPr>
        <w:rFonts w:ascii="Times New Roman" w:hAnsi="Times New Roman"/>
        <w:color w:val="6B6B66"/>
        <w:sz w:val="16"/>
      </w:rPr>
      <w:t>Prinzipalmarkt 14, 48143 Münster · Aktenzeichen 26-0618-A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