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Arbeitsgericht Berlin</w:t>
      </w:r>
    </w:p>
    <w:p>
      <w:pPr>
        <w:jc w:val="left"/>
      </w:pPr>
      <w:r>
        <w:t>Magdeburger Platz 1, 10785 Berlin · Geschäftsstelle der Kammer 28</w:t>
      </w:r>
    </w:p>
    <w:p>
      <w:pPr>
        <w:jc w:val="left"/>
      </w:pPr>
      <w:r>
        <w:t>Berlin, den 18. März 2026</w:t>
      </w:r>
    </w:p>
    <w:p>
      <w:pPr>
        <w:jc w:val="left"/>
      </w:pPr>
      <w:r>
        <w:t>Geschäftszeichen: 28 Ca 1492/26 (bitte stets angeben)</w:t>
      </w:r>
    </w:p>
    <w:p>
      <w:pPr>
        <w:jc w:val="left"/>
      </w:pPr>
      <w:r>
        <w:t>In dem Rechtsstreit</w:t>
      </w:r>
    </w:p>
    <w:p>
      <w:pPr>
        <w:jc w:val="left"/>
      </w:pPr>
      <w:r>
        <w:t>Vogt gegen Stadtwerke Neukölln GmbH</w:t>
      </w:r>
    </w:p>
    <w:p>
      <w:pPr>
        <w:jc w:val="left"/>
      </w:pPr>
      <w:r>
        <w:t>wird der Eingang der Klage vom 13. März 2026 bestätigt. Die Klage ist der Beklagten am 17. März 2026 zugestellt worden.</w:t>
      </w:r>
    </w:p>
    <w:p>
      <w:pPr>
        <w:jc w:val="left"/>
      </w:pPr>
      <w:r>
        <w:t>Termin zur Güteverhandlung vor der Vorsitzenden ist bestimmt auf</w:t>
      </w:r>
    </w:p>
    <w:p>
      <w:pPr>
        <w:jc w:val="left"/>
      </w:pPr>
      <w:r>
        <w:t>Dienstag, den 21. April 2026, 10:30 Uhr, Saal 244, 2. Obergeschoss.</w:t>
      </w:r>
    </w:p>
    <w:p>
      <w:pPr>
        <w:jc w:val="left"/>
      </w:pPr>
      <w:r>
        <w:t>Das persönliche Erscheinen der Klägerin wird angeordnet. Die Parteien werden darauf hingewiesen, dass in der Güteverhandlung der gesamte Streitstoff mit den Parteien erörtert wird und eine gütliche Einigung versucht werden soll. Vertreter der Parteien müssen zur Aufklärung des Sachverhalts in der Lage und zur Abgabe von Erklärungen, insbesondere zum Abschluss eines Vergleichs, ermächtigt sein.</w:t>
      </w:r>
    </w:p>
    <w:p>
      <w:pPr>
        <w:jc w:val="left"/>
      </w:pPr>
      <w:r>
        <w:t>Der Beklagten wird aufgegeben, sich binnen zwei Wochen nach Zustellung schriftlich zur Klage zu äußern, sofern nicht die Güteverhandlung abgewartet werden soll, und den vollständigen Arbeitsvertrag vom 14./16. Februar 2024 einschließlich aller Anlagen sowie den Nachweis der Übermittlungswege im Original oder in beglaubigter Abschrift zum Termin mitzubringen.</w:t>
      </w:r>
    </w:p>
    <w:p>
      <w:pPr>
        <w:jc w:val="left"/>
      </w:pPr>
      <w:r>
        <w:t>Die Klägerin wird gebeten, die in der Klageschrift als Anlage K 4 angekündigte E-Mail vom 16. Februar 2024 mit dem zurückgesandten Vertragsscan nachzureichen; die Anlage war der bei Gericht eingegangenen Fassung nicht beigefügt.</w:t>
      </w:r>
    </w:p>
    <w:p>
      <w:pPr>
        <w:jc w:val="left"/>
      </w:pPr>
      <w:r>
        <w:t>Es wird darauf hingewiesen, dass bei Nichterscheinen einer Partei im Gütetermin nach Lage der Akten entschieden oder das Verfahren in das Kammerverfahren übergeleitet werden kann.</w:t>
      </w:r>
    </w:p>
    <w:p>
      <w:pPr>
        <w:jc w:val="left"/>
      </w:pPr>
      <w:r>
        <w:t>Auf richterliche Anordnung</w:t>
      </w:r>
    </w:p>
    <w:p>
      <w:pPr>
        <w:jc w:val="left"/>
      </w:pPr>
      <w:r>
        <w:t>Krettek</w:t>
      </w:r>
    </w:p>
    <w:p>
      <w:pPr>
        <w:jc w:val="left"/>
      </w:pPr>
      <w:r>
        <w:t>Justizbeschäftigte,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Arbeitsgericht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Arbeitsgericht Berlin</w:t>
    </w:r>
  </w:p>
  <w:p>
    <w:pPr>
      <w:jc w:val="left"/>
      <w:pBdr>
        <w:bottom w:val="single" w:sz="6" w:space="2" w:color="3B3F45"/>
      </w:pBdr>
    </w:pPr>
    <w:r>
      <w:rPr>
        <w:rFonts w:ascii="Times New Roman" w:hAnsi="Times New Roman"/>
        <w:color w:val="6B6B66"/>
        <w:sz w:val="16"/>
      </w:rPr>
      <w:t>Gericht · Geschäftszeichen: 28 Ca 1492/26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